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744955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E81AF5">
        <w:rPr>
          <w:bCs/>
          <w:noProof w:val="0"/>
          <w:sz w:val="24"/>
          <w:szCs w:val="24"/>
        </w:rPr>
        <w:t>1665</w:t>
      </w:r>
    </w:p>
    <w:p w14:paraId="11776FA6" w14:textId="6FF32DEC" w:rsidR="00A209D6" w:rsidRPr="00465587" w:rsidRDefault="00D54820"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Greece</w:t>
      </w:r>
      <w:r w:rsidR="00A36F5F" w:rsidRPr="00A36F5F">
        <w:rPr>
          <w:bCs/>
          <w:sz w:val="24"/>
          <w:szCs w:val="24"/>
          <w:lang w:eastAsia="zh-CN"/>
        </w:rPr>
        <w:t xml:space="preserve">, </w:t>
      </w:r>
      <w:r>
        <w:rPr>
          <w:bCs/>
          <w:sz w:val="24"/>
          <w:szCs w:val="24"/>
          <w:lang w:eastAsia="zh-CN"/>
        </w:rPr>
        <w:t>27 February</w:t>
      </w:r>
      <w:r w:rsidR="005C7CD5" w:rsidRPr="005C7CD5">
        <w:rPr>
          <w:bCs/>
          <w:sz w:val="24"/>
          <w:szCs w:val="24"/>
          <w:lang w:eastAsia="zh-CN"/>
        </w:rPr>
        <w:t xml:space="preserve"> – </w:t>
      </w:r>
      <w:r>
        <w:rPr>
          <w:bCs/>
          <w:sz w:val="24"/>
          <w:szCs w:val="24"/>
          <w:lang w:eastAsia="zh-CN"/>
        </w:rPr>
        <w:t>03</w:t>
      </w:r>
      <w:r w:rsidR="005C7CD5" w:rsidRPr="005C7CD5">
        <w:rPr>
          <w:bCs/>
          <w:sz w:val="24"/>
          <w:szCs w:val="24"/>
          <w:lang w:eastAsia="zh-CN"/>
        </w:rPr>
        <w:t xml:space="preserve"> </w:t>
      </w:r>
      <w:r>
        <w:rPr>
          <w:bCs/>
          <w:sz w:val="24"/>
          <w:szCs w:val="24"/>
          <w:lang w:eastAsia="zh-CN"/>
        </w:rPr>
        <w:t>March</w:t>
      </w:r>
      <w:r w:rsidR="005C7CD5" w:rsidRPr="005C7CD5">
        <w:rPr>
          <w:bCs/>
          <w:sz w:val="24"/>
          <w:szCs w:val="24"/>
          <w:lang w:eastAsia="zh-CN"/>
        </w:rPr>
        <w:t xml:space="preserve"> 202</w:t>
      </w:r>
      <w:r w:rsidR="00E038FB">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338C40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3A6E">
        <w:rPr>
          <w:rFonts w:cs="Arial"/>
          <w:b/>
          <w:bCs/>
          <w:sz w:val="24"/>
          <w:lang w:eastAsia="ja-JP"/>
        </w:rPr>
        <w:t>8</w:t>
      </w:r>
      <w:r>
        <w:rPr>
          <w:rFonts w:cs="Arial"/>
          <w:b/>
          <w:bCs/>
          <w:sz w:val="24"/>
          <w:lang w:eastAsia="ja-JP"/>
        </w:rPr>
        <w:t>.</w:t>
      </w:r>
      <w:r w:rsidR="00083A6E">
        <w:rPr>
          <w:rFonts w:cs="Arial"/>
          <w:b/>
          <w:bCs/>
          <w:sz w:val="24"/>
          <w:lang w:eastAsia="ja-JP"/>
        </w:rPr>
        <w:t>14</w:t>
      </w:r>
      <w:r>
        <w:rPr>
          <w:rFonts w:cs="Arial"/>
          <w:b/>
          <w:bCs/>
          <w:sz w:val="24"/>
          <w:lang w:eastAsia="ja-JP"/>
        </w:rPr>
        <w:t>.</w:t>
      </w:r>
      <w:r w:rsidR="00083A6E">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3C0EB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3A6E">
        <w:rPr>
          <w:rFonts w:ascii="Arial" w:hAnsi="Arial" w:cs="Arial"/>
          <w:b/>
          <w:bCs/>
          <w:sz w:val="24"/>
        </w:rPr>
        <w:t>On QoE continuity during inter-RAT handover</w:t>
      </w:r>
    </w:p>
    <w:p w14:paraId="25F387E8" w14:textId="74076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6EE0">
        <w:rPr>
          <w:rFonts w:ascii="Arial" w:hAnsi="Arial" w:cs="Arial"/>
          <w:b/>
          <w:bCs/>
          <w:sz w:val="24"/>
        </w:rPr>
        <w:t>NR_QoE_enh-Core</w:t>
      </w:r>
      <w:r w:rsidR="00A36EE0" w:rsidRPr="00112F1A">
        <w:rPr>
          <w:rFonts w:ascii="Arial" w:hAnsi="Arial" w:cs="Arial"/>
          <w:b/>
          <w:bCs/>
          <w:sz w:val="24"/>
        </w:rPr>
        <w:t xml:space="preserve"> </w:t>
      </w:r>
      <w:r w:rsidR="00A36EE0">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1D51307" w14:textId="27CAE080" w:rsidR="00E506E0" w:rsidRDefault="00E506E0" w:rsidP="009339CB">
      <w:r>
        <w:t xml:space="preserve">In Rel-18, one objective in the QoE measurement (WID </w:t>
      </w:r>
      <w:r w:rsidRPr="00693479">
        <w:t>RP-223488</w:t>
      </w:r>
      <w:r>
        <w:t>) is to support QoE continuity during intra-5GC inter-RAT handover for streaming and MTSI service.</w:t>
      </w:r>
    </w:p>
    <w:p w14:paraId="1491BD8B" w14:textId="77777777" w:rsidR="00E506E0" w:rsidRDefault="00E506E0" w:rsidP="00E506E0">
      <w:pPr>
        <w:numPr>
          <w:ilvl w:val="0"/>
          <w:numId w:val="8"/>
        </w:numPr>
        <w:overflowPunct w:val="0"/>
        <w:autoSpaceDE w:val="0"/>
        <w:autoSpaceDN w:val="0"/>
        <w:adjustRightInd w:val="0"/>
        <w:spacing w:beforeLines="50" w:before="120" w:after="0"/>
        <w:jc w:val="both"/>
        <w:textAlignment w:val="baseline"/>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5421178F" w14:textId="7E34389F" w:rsidR="00E506E0" w:rsidRPr="00E506E0" w:rsidRDefault="00E506E0" w:rsidP="009339CB">
      <w:pPr>
        <w:rPr>
          <w:sz w:val="2"/>
          <w:szCs w:val="2"/>
        </w:rPr>
      </w:pPr>
    </w:p>
    <w:p w14:paraId="4854EE57" w14:textId="492A4458" w:rsidR="009339CB" w:rsidRDefault="1F30A6E2" w:rsidP="009339CB">
      <w:r>
        <w:t xml:space="preserve">In this document, we </w:t>
      </w:r>
      <w:r w:rsidR="00994C4A">
        <w:t xml:space="preserve">elaborate </w:t>
      </w:r>
      <w:r w:rsidR="4D40ABB6">
        <w:t>a possible way</w:t>
      </w:r>
      <w:r w:rsidR="00994C4A">
        <w:t xml:space="preserve"> to fulfil the objective.</w:t>
      </w:r>
    </w:p>
    <w:p w14:paraId="7D484B6E" w14:textId="5CB829E8" w:rsidR="009339CB" w:rsidRPr="006E13D1" w:rsidRDefault="009339CB" w:rsidP="009339CB">
      <w:pPr>
        <w:pStyle w:val="Heading1"/>
      </w:pPr>
      <w:r w:rsidRPr="006E13D1">
        <w:t>2</w:t>
      </w:r>
      <w:r w:rsidRPr="006E13D1">
        <w:tab/>
      </w:r>
      <w:r w:rsidR="007D6486">
        <w:t>Discussion</w:t>
      </w:r>
    </w:p>
    <w:p w14:paraId="4AA1A39C" w14:textId="77777777" w:rsidR="00A774F3" w:rsidRPr="006E13D1" w:rsidRDefault="00A774F3" w:rsidP="00A774F3">
      <w:pPr>
        <w:pStyle w:val="Heading2"/>
      </w:pPr>
      <w:r w:rsidRPr="006E13D1">
        <w:t>2</w:t>
      </w:r>
      <w:r>
        <w:t>.1</w:t>
      </w:r>
      <w:r w:rsidRPr="006E13D1">
        <w:tab/>
      </w:r>
      <w:r>
        <w:t>Objective scope</w:t>
      </w:r>
    </w:p>
    <w:p w14:paraId="360E82BF" w14:textId="33FE5880" w:rsidR="00A774F3" w:rsidRDefault="00A774F3" w:rsidP="00540C66">
      <w:pPr>
        <w:jc w:val="both"/>
      </w:pPr>
      <w:r>
        <w:t xml:space="preserve">RAN#98e hold a discussion on the objective to support QoE continuity during intra-5GC inter-RAT handover for streaming and MTSI service, resulting in the WID update (to </w:t>
      </w:r>
      <w:hyperlink r:id="rId7" w:history="1">
        <w:r w:rsidRPr="006D4C21">
          <w:rPr>
            <w:rStyle w:val="Hyperlink"/>
          </w:rPr>
          <w:t>RP-223488</w:t>
        </w:r>
      </w:hyperlink>
      <w:r>
        <w:t xml:space="preserve">). It has been clarified that Rel-18 enhancements related to the continued support of QoE configuration for the two services shouldn’t be heading towards LTE specifications changes. In consequence, the agreed WID modified the list of impacted specifications by removal of the </w:t>
      </w:r>
      <w:r w:rsidR="008475CA">
        <w:t>LTE specification (e.g.</w:t>
      </w:r>
      <w:r>
        <w:t>TS36.33</w:t>
      </w:r>
      <w:r w:rsidR="008475CA">
        <w:t>)</w:t>
      </w:r>
      <w:r>
        <w:t xml:space="preserve">1.  With the help of that update, RAN2 and RAN3 work on the related Rel-18 enhancements should not target LTE RRC changes. </w:t>
      </w:r>
    </w:p>
    <w:p w14:paraId="65BAA284" w14:textId="77777777" w:rsidR="00A774F3" w:rsidRPr="00D7760E" w:rsidRDefault="00A774F3" w:rsidP="009166E5">
      <w:pPr>
        <w:jc w:val="both"/>
        <w:rPr>
          <w:b/>
          <w:bCs/>
        </w:rPr>
      </w:pPr>
      <w:r w:rsidRPr="00D7760E">
        <w:rPr>
          <w:b/>
          <w:bCs/>
        </w:rPr>
        <w:t>Observation 1: No LTE specifications changes are expected to support the continuity of</w:t>
      </w:r>
      <w:r w:rsidRPr="00D7760E">
        <w:rPr>
          <w:rFonts w:hint="eastAsia"/>
          <w:b/>
          <w:bCs/>
          <w:lang w:val="en-US" w:eastAsia="zh-CN"/>
        </w:rPr>
        <w:t xml:space="preserve"> legacy</w:t>
      </w:r>
      <w:r w:rsidRPr="00D7760E">
        <w:rPr>
          <w:b/>
          <w:bCs/>
        </w:rPr>
        <w:t xml:space="preserve"> QoE measurement job</w:t>
      </w:r>
      <w:r w:rsidRPr="00D7760E">
        <w:rPr>
          <w:rFonts w:hint="eastAsia"/>
          <w:b/>
          <w:bCs/>
          <w:lang w:val="en-US" w:eastAsia="zh-CN"/>
        </w:rPr>
        <w:t xml:space="preserve"> for </w:t>
      </w:r>
      <w:r w:rsidRPr="00D7760E">
        <w:rPr>
          <w:rFonts w:hint="eastAsia"/>
          <w:b/>
          <w:bCs/>
        </w:rPr>
        <w:t>streaming and MTSI service</w:t>
      </w:r>
      <w:r w:rsidRPr="00D7760E">
        <w:rPr>
          <w:rFonts w:hint="eastAsia"/>
          <w:b/>
          <w:bCs/>
          <w:lang w:val="en-US" w:eastAsia="zh-CN"/>
        </w:rPr>
        <w:t xml:space="preserve"> </w:t>
      </w:r>
      <w:r w:rsidRPr="00D7760E">
        <w:rPr>
          <w:b/>
          <w:bCs/>
        </w:rPr>
        <w:t>during</w:t>
      </w:r>
      <w:r w:rsidRPr="00D7760E">
        <w:rPr>
          <w:rFonts w:hint="eastAsia"/>
          <w:b/>
          <w:bCs/>
          <w:lang w:val="en-US" w:eastAsia="zh-CN"/>
        </w:rPr>
        <w:t xml:space="preserve"> intra-5GC</w:t>
      </w:r>
      <w:r w:rsidRPr="00D7760E">
        <w:rPr>
          <w:b/>
          <w:bCs/>
        </w:rPr>
        <w:t xml:space="preserve"> inter-RAT handover.</w:t>
      </w:r>
    </w:p>
    <w:p w14:paraId="43F98695" w14:textId="77777777" w:rsidR="00A774F3" w:rsidRDefault="00A774F3" w:rsidP="00A774F3">
      <w:pPr>
        <w:pStyle w:val="Heading2"/>
      </w:pPr>
      <w:r w:rsidRPr="006E13D1">
        <w:t>2</w:t>
      </w:r>
      <w:r>
        <w:t>.2</w:t>
      </w:r>
      <w:r w:rsidRPr="006E13D1">
        <w:tab/>
      </w:r>
      <w:r>
        <w:t>Inter-RAT handover</w:t>
      </w:r>
    </w:p>
    <w:p w14:paraId="56ACD9CB" w14:textId="77777777" w:rsidR="00A774F3" w:rsidRPr="003E3DAD" w:rsidRDefault="00A774F3" w:rsidP="00A774F3">
      <w:r w:rsidRPr="003E3DAD">
        <w:t>Inter RAT</w:t>
      </w:r>
      <w:r>
        <w:t xml:space="preserve"> handover</w:t>
      </w:r>
      <w:r w:rsidRPr="003E3DAD">
        <w:t xml:space="preserve"> is </w:t>
      </w:r>
      <w:r>
        <w:t>realized</w:t>
      </w:r>
      <w:r w:rsidRPr="003E3DAD">
        <w:t xml:space="preserve"> by the following</w:t>
      </w:r>
      <w:r>
        <w:t xml:space="preserve"> steps</w:t>
      </w:r>
      <w:r w:rsidRPr="003E3DAD">
        <w:t>:</w:t>
      </w:r>
    </w:p>
    <w:p w14:paraId="402C2E84" w14:textId="77777777" w:rsidR="00A774F3" w:rsidRDefault="00A774F3" w:rsidP="00A774F3">
      <w:pPr>
        <w:pStyle w:val="B1"/>
      </w:pPr>
      <w:r w:rsidRPr="003E3DAD">
        <w:t>-</w:t>
      </w:r>
      <w:r>
        <w:t xml:space="preserve"> </w:t>
      </w:r>
      <w:r w:rsidRPr="003E3DAD">
        <w:t xml:space="preserve">The </w:t>
      </w:r>
      <w:r>
        <w:t>S</w:t>
      </w:r>
      <w:r w:rsidRPr="003E3DAD">
        <w:t xml:space="preserve">ource RAT decides on the </w:t>
      </w:r>
      <w:r>
        <w:t xml:space="preserve">Handover and initiate Handover </w:t>
      </w:r>
      <w:r w:rsidRPr="003E3DAD">
        <w:t xml:space="preserve">preparation </w:t>
      </w:r>
      <w:r>
        <w:t xml:space="preserve">(based on the UE’s measurement results) </w:t>
      </w:r>
    </w:p>
    <w:p w14:paraId="7A015BC3" w14:textId="19F794C6" w:rsidR="00A774F3" w:rsidRPr="003E3DAD" w:rsidRDefault="00A774F3" w:rsidP="00A774F3">
      <w:pPr>
        <w:pStyle w:val="B1"/>
      </w:pPr>
      <w:r>
        <w:t xml:space="preserve">- The Source RAT </w:t>
      </w:r>
      <w:r w:rsidRPr="003E3DAD">
        <w:t xml:space="preserve">provides the necessary </w:t>
      </w:r>
      <w:r>
        <w:t>configuration</w:t>
      </w:r>
      <w:r w:rsidRPr="003E3DAD">
        <w:t xml:space="preserve"> </w:t>
      </w:r>
      <w:r>
        <w:t>with the current and relevant UE configuration in</w:t>
      </w:r>
      <w:r w:rsidRPr="003E3DAD">
        <w:t xml:space="preserve"> the format required by the target RAT</w:t>
      </w:r>
      <w:r>
        <w:t xml:space="preserve"> (according to </w:t>
      </w:r>
      <w:r w:rsidR="00541850">
        <w:t>TS</w:t>
      </w:r>
      <w:r>
        <w:t>38.413/</w:t>
      </w:r>
      <w:r w:rsidR="00541850">
        <w:t>TS</w:t>
      </w:r>
      <w:r>
        <w:t>36.413)</w:t>
      </w:r>
      <w:r w:rsidRPr="003E3DAD">
        <w:t>:</w:t>
      </w:r>
    </w:p>
    <w:p w14:paraId="212A3191" w14:textId="77D46412" w:rsidR="00A774F3" w:rsidRPr="003E3DAD" w:rsidRDefault="00A774F3" w:rsidP="00A774F3">
      <w:pPr>
        <w:pStyle w:val="B2"/>
      </w:pPr>
      <w:r w:rsidRPr="003E3DAD">
        <w:t>-</w:t>
      </w:r>
      <w:r w:rsidRPr="003E3DAD">
        <w:tab/>
        <w:t xml:space="preserve">For handover preparation, the </w:t>
      </w:r>
      <w:r>
        <w:t>S</w:t>
      </w:r>
      <w:r w:rsidRPr="003E3DAD">
        <w:t xml:space="preserve">ource RAT issues a handover preparation request message </w:t>
      </w:r>
      <w:r>
        <w:t xml:space="preserve">(HANDOVER REQUIRED), </w:t>
      </w:r>
      <w:r w:rsidRPr="003E3DAD">
        <w:t xml:space="preserve"> passing a </w:t>
      </w:r>
      <w:r>
        <w:t>T</w:t>
      </w:r>
      <w:r w:rsidRPr="003E3DAD">
        <w:t xml:space="preserve">ransparent </w:t>
      </w:r>
      <w:r>
        <w:t xml:space="preserve">Source to Target </w:t>
      </w:r>
      <w:r w:rsidRPr="003E3DAD">
        <w:t xml:space="preserve">container with necessary information </w:t>
      </w:r>
      <w:r>
        <w:t>(</w:t>
      </w:r>
      <w:r w:rsidR="00171AC4">
        <w:t xml:space="preserve">Handover Preparation </w:t>
      </w:r>
      <w:r w:rsidR="00171AC4">
        <w:rPr>
          <w:rFonts w:hint="eastAsia"/>
          <w:lang w:eastAsia="zh-CN"/>
        </w:rPr>
        <w:t>Information</w:t>
      </w:r>
      <w:r>
        <w:t xml:space="preserve">) </w:t>
      </w:r>
      <w:r w:rsidRPr="003E3DAD">
        <w:t xml:space="preserve">to prepare the handover at the target side. </w:t>
      </w:r>
    </w:p>
    <w:p w14:paraId="6ABC468A" w14:textId="77777777" w:rsidR="00A774F3" w:rsidRPr="003E3DAD" w:rsidRDefault="00A774F3" w:rsidP="00A774F3">
      <w:pPr>
        <w:pStyle w:val="B1"/>
      </w:pPr>
      <w:r w:rsidRPr="003E3DAD">
        <w:t>-</w:t>
      </w:r>
      <w:r w:rsidRPr="003E3DAD">
        <w:tab/>
      </w:r>
      <w:r>
        <w:t>The T</w:t>
      </w:r>
      <w:r w:rsidRPr="003E3DAD">
        <w:t xml:space="preserve">arget RAT </w:t>
      </w:r>
      <w:r>
        <w:t>prepares necessary r</w:t>
      </w:r>
      <w:r w:rsidRPr="003E3DAD">
        <w:t>adio resources</w:t>
      </w:r>
    </w:p>
    <w:p w14:paraId="53EB052E" w14:textId="5D277606" w:rsidR="00A774F3" w:rsidRDefault="00A774F3" w:rsidP="00A774F3">
      <w:pPr>
        <w:pStyle w:val="B1"/>
      </w:pPr>
      <w:r w:rsidRPr="003E3DAD">
        <w:t>-</w:t>
      </w:r>
      <w:r w:rsidRPr="003E3DAD">
        <w:tab/>
      </w:r>
      <w:r>
        <w:t xml:space="preserve">In the response, the Target RAT </w:t>
      </w:r>
      <w:r w:rsidRPr="003E3DAD">
        <w:t xml:space="preserve">provides the necessary </w:t>
      </w:r>
      <w:r>
        <w:t>configuration</w:t>
      </w:r>
      <w:r w:rsidRPr="003E3DAD">
        <w:t xml:space="preserve"> to the </w:t>
      </w:r>
      <w:r>
        <w:t>Source</w:t>
      </w:r>
      <w:r w:rsidRPr="003E3DAD">
        <w:t xml:space="preserve"> RAT</w:t>
      </w:r>
      <w:r>
        <w:t xml:space="preserve"> in the format required by the source RAT (RRC Reconfiguration) to acknowledge readiness at the target side (according to </w:t>
      </w:r>
      <w:r w:rsidR="004E1836">
        <w:t>TS</w:t>
      </w:r>
      <w:r>
        <w:t>38.413/</w:t>
      </w:r>
      <w:r w:rsidR="004E1836">
        <w:t>TS</w:t>
      </w:r>
      <w:r>
        <w:t>36.413)</w:t>
      </w:r>
    </w:p>
    <w:p w14:paraId="7A32A8DF" w14:textId="2A0FEB9E" w:rsidR="00A774F3" w:rsidRPr="003E3DAD" w:rsidRDefault="00A774F3" w:rsidP="00A774F3">
      <w:pPr>
        <w:pStyle w:val="B2"/>
      </w:pPr>
      <w:r w:rsidRPr="003E3DAD">
        <w:lastRenderedPageBreak/>
        <w:t>-</w:t>
      </w:r>
      <w:r w:rsidRPr="003E3DAD">
        <w:tab/>
        <w:t xml:space="preserve">The RRC </w:t>
      </w:r>
      <w:r>
        <w:t>R</w:t>
      </w:r>
      <w:r w:rsidRPr="003E3DAD">
        <w:t xml:space="preserve">econfiguration message from the </w:t>
      </w:r>
      <w:r>
        <w:t>T</w:t>
      </w:r>
      <w:r w:rsidRPr="003E3DAD">
        <w:t>arget RAT is delivered t</w:t>
      </w:r>
      <w:r>
        <w:t xml:space="preserve">hrough </w:t>
      </w:r>
      <w:r w:rsidRPr="003E3DAD">
        <w:t xml:space="preserve">the </w:t>
      </w:r>
      <w:r>
        <w:t>S</w:t>
      </w:r>
      <w:r w:rsidRPr="003E3DAD">
        <w:t xml:space="preserve">ource RAT via </w:t>
      </w:r>
      <w:r>
        <w:t>a T</w:t>
      </w:r>
      <w:r w:rsidRPr="003E3DAD">
        <w:t xml:space="preserve">ransparent </w:t>
      </w:r>
      <w:r w:rsidR="00AA7E26">
        <w:t>T</w:t>
      </w:r>
      <w:r>
        <w:t xml:space="preserve">arget to Source </w:t>
      </w:r>
      <w:r w:rsidRPr="003E3DAD">
        <w:t xml:space="preserve">container, and is passed to the UE by the </w:t>
      </w:r>
      <w:r>
        <w:t>S</w:t>
      </w:r>
      <w:r w:rsidRPr="003E3DAD">
        <w:t>ource RAT in the handover command:</w:t>
      </w:r>
    </w:p>
    <w:p w14:paraId="04857A30" w14:textId="77777777" w:rsidR="00A774F3" w:rsidRDefault="00A774F3" w:rsidP="00A774F3">
      <w:pPr>
        <w:pStyle w:val="B2"/>
        <w:rPr>
          <w:lang w:eastAsia="ja-JP"/>
        </w:rPr>
      </w:pPr>
      <w:r w:rsidRPr="003E3DAD">
        <w:t>-</w:t>
      </w:r>
      <w:r w:rsidRPr="003E3DAD">
        <w:tab/>
      </w:r>
      <w:r>
        <w:tab/>
        <w:t xml:space="preserve">For </w:t>
      </w:r>
      <w:r w:rsidRPr="003E3DAD">
        <w:t xml:space="preserve">handover command </w:t>
      </w:r>
      <w:r>
        <w:t xml:space="preserve">from 5G to 4G, the </w:t>
      </w:r>
      <w:r w:rsidRPr="00520D2C">
        <w:rPr>
          <w:i/>
          <w:lang w:eastAsia="ja-JP"/>
        </w:rPr>
        <w:t>MobilityFromNRCommand</w:t>
      </w:r>
      <w:r w:rsidRPr="00520D2C">
        <w:rPr>
          <w:lang w:eastAsia="ja-JP"/>
        </w:rPr>
        <w:t xml:space="preserve"> message is used </w:t>
      </w:r>
      <w:r>
        <w:rPr>
          <w:lang w:eastAsia="ja-JP"/>
        </w:rPr>
        <w:t xml:space="preserve">with </w:t>
      </w:r>
      <w:r w:rsidRPr="00756F16">
        <w:rPr>
          <w:i/>
          <w:iCs/>
          <w:lang w:eastAsia="ja-JP"/>
        </w:rPr>
        <w:t>targetRAT-MessageContainer</w:t>
      </w:r>
      <w:r>
        <w:rPr>
          <w:lang w:eastAsia="ja-JP"/>
        </w:rPr>
        <w:t xml:space="preserve"> (for </w:t>
      </w:r>
      <w:r w:rsidRPr="00756F16">
        <w:rPr>
          <w:i/>
          <w:iCs/>
          <w:lang w:eastAsia="ja-JP"/>
        </w:rPr>
        <w:t>targetRAT-type: eutra</w:t>
      </w:r>
      <w:r>
        <w:rPr>
          <w:lang w:eastAsia="ja-JP"/>
        </w:rPr>
        <w:t xml:space="preserve">), containing </w:t>
      </w:r>
      <w:r w:rsidRPr="00756F16">
        <w:rPr>
          <w:i/>
          <w:iCs/>
          <w:lang w:eastAsia="ja-JP"/>
        </w:rPr>
        <w:t>RRCReconfiguration</w:t>
      </w:r>
      <w:r>
        <w:rPr>
          <w:lang w:eastAsia="ja-JP"/>
        </w:rPr>
        <w:t xml:space="preserve"> message encoded according to 36.331 syntax</w:t>
      </w:r>
    </w:p>
    <w:p w14:paraId="0FAD2AA1" w14:textId="77777777" w:rsidR="00A774F3" w:rsidRPr="009E1572" w:rsidRDefault="00A774F3" w:rsidP="00A774F3">
      <w:pPr>
        <w:pStyle w:val="B2"/>
      </w:pPr>
      <w:r>
        <w:rPr>
          <w:lang w:eastAsia="ja-JP"/>
        </w:rPr>
        <w:t xml:space="preserve">- </w:t>
      </w:r>
      <w:r>
        <w:rPr>
          <w:lang w:eastAsia="ja-JP"/>
        </w:rPr>
        <w:tab/>
        <w:t xml:space="preserve">For handover command from 4G to 5G, the </w:t>
      </w:r>
      <w:r w:rsidRPr="00225D5C">
        <w:rPr>
          <w:i/>
          <w:iCs/>
          <w:lang w:eastAsia="ja-JP"/>
        </w:rPr>
        <w:t>MobilityFromEUTRA</w:t>
      </w:r>
      <w:r>
        <w:rPr>
          <w:lang w:eastAsia="ja-JP"/>
        </w:rPr>
        <w:t xml:space="preserve"> message is used with Handover purpose and </w:t>
      </w:r>
      <w:r w:rsidRPr="00756F16">
        <w:rPr>
          <w:i/>
          <w:iCs/>
        </w:rPr>
        <w:t>targetRAT-MessageContainer</w:t>
      </w:r>
      <w:r w:rsidRPr="00756F16">
        <w:t xml:space="preserve"> (for</w:t>
      </w:r>
      <w:r>
        <w:t xml:space="preserve"> </w:t>
      </w:r>
      <w:r w:rsidRPr="00756F16">
        <w:rPr>
          <w:i/>
          <w:iCs/>
        </w:rPr>
        <w:t>targetRAT-type:nr</w:t>
      </w:r>
      <w:r>
        <w:t xml:space="preserve">), </w:t>
      </w:r>
      <w:r>
        <w:rPr>
          <w:lang w:eastAsia="ja-JP"/>
        </w:rPr>
        <w:t xml:space="preserve">containing </w:t>
      </w:r>
      <w:r w:rsidRPr="00756F16">
        <w:rPr>
          <w:i/>
          <w:iCs/>
          <w:lang w:eastAsia="ja-JP"/>
        </w:rPr>
        <w:t>RRCReconfiguration</w:t>
      </w:r>
      <w:r>
        <w:rPr>
          <w:lang w:eastAsia="ja-JP"/>
        </w:rPr>
        <w:t xml:space="preserve"> message </w:t>
      </w:r>
      <w:r>
        <w:t xml:space="preserve">encoded according to 38.331 syntax </w:t>
      </w:r>
    </w:p>
    <w:p w14:paraId="5E6A73BC" w14:textId="7008D9CD" w:rsidR="00E061BC" w:rsidRPr="00D7760E" w:rsidRDefault="00A774F3" w:rsidP="00A774F3">
      <w:pPr>
        <w:rPr>
          <w:b/>
          <w:bCs/>
        </w:rPr>
      </w:pPr>
      <w:r w:rsidRPr="00D7760E">
        <w:rPr>
          <w:b/>
          <w:bCs/>
        </w:rPr>
        <w:t xml:space="preserve">Observation 2: In the inter-RAT HO from 5G to 4G, the gNB </w:t>
      </w:r>
      <w:r w:rsidR="00BA2099" w:rsidRPr="00D7760E">
        <w:rPr>
          <w:b/>
          <w:bCs/>
        </w:rPr>
        <w:t xml:space="preserve">needs to refer </w:t>
      </w:r>
      <w:r w:rsidR="001F7FC6" w:rsidRPr="00D7760E">
        <w:rPr>
          <w:b/>
          <w:bCs/>
        </w:rPr>
        <w:t>LTE specification</w:t>
      </w:r>
      <w:r w:rsidR="005053CA" w:rsidRPr="00D7760E">
        <w:rPr>
          <w:b/>
          <w:bCs/>
        </w:rPr>
        <w:t xml:space="preserve"> </w:t>
      </w:r>
      <w:r w:rsidR="001F7FC6" w:rsidRPr="00D7760E">
        <w:rPr>
          <w:b/>
          <w:bCs/>
        </w:rPr>
        <w:t xml:space="preserve">to </w:t>
      </w:r>
      <w:r w:rsidR="00E66A32" w:rsidRPr="00D7760E">
        <w:rPr>
          <w:b/>
          <w:bCs/>
        </w:rPr>
        <w:t xml:space="preserve">build the message to </w:t>
      </w:r>
      <w:r w:rsidR="00625098">
        <w:rPr>
          <w:b/>
          <w:bCs/>
        </w:rPr>
        <w:t>request</w:t>
      </w:r>
      <w:r w:rsidR="0065143C" w:rsidRPr="00D7760E">
        <w:rPr>
          <w:b/>
          <w:bCs/>
        </w:rPr>
        <w:t xml:space="preserve"> the </w:t>
      </w:r>
      <w:r w:rsidR="00954477" w:rsidRPr="00D7760E">
        <w:rPr>
          <w:b/>
          <w:bCs/>
        </w:rPr>
        <w:t>inter-RAT HO.</w:t>
      </w:r>
    </w:p>
    <w:p w14:paraId="69FE36D0" w14:textId="77B6AB49" w:rsidR="009044EB" w:rsidRPr="00D7760E" w:rsidRDefault="00A774F3" w:rsidP="00A774F3">
      <w:pPr>
        <w:rPr>
          <w:b/>
          <w:bCs/>
        </w:rPr>
      </w:pPr>
      <w:r w:rsidRPr="00D7760E">
        <w:rPr>
          <w:b/>
          <w:bCs/>
        </w:rPr>
        <w:t xml:space="preserve">Observation 3: In the inter-RAT HO from 4G to 5G, the eNB needs to </w:t>
      </w:r>
      <w:r w:rsidR="009044EB" w:rsidRPr="00D7760E">
        <w:rPr>
          <w:b/>
          <w:bCs/>
        </w:rPr>
        <w:t xml:space="preserve">refer NR specification to build the message to </w:t>
      </w:r>
      <w:r w:rsidR="00625098">
        <w:rPr>
          <w:b/>
          <w:bCs/>
        </w:rPr>
        <w:t>request</w:t>
      </w:r>
      <w:r w:rsidR="009044EB" w:rsidRPr="00D7760E">
        <w:rPr>
          <w:b/>
          <w:bCs/>
        </w:rPr>
        <w:t xml:space="preserve"> the inter-RAT HO.</w:t>
      </w:r>
    </w:p>
    <w:p w14:paraId="1570BCEC" w14:textId="77777777" w:rsidR="00A774F3" w:rsidRDefault="00A774F3" w:rsidP="00A774F3">
      <w:r>
        <w:t>The principles define generic way of handling RRC configuration continuity in handover, thus could be seen as regular mode of operation between inter-RAT handover involving eNB and gNB. However, for the UE’s QoE configuration, we note there is no accurate mapping of the LTE QoE configuration with NR QoE configuration, making a continued support for the QoE configuration in inter-RAT scenario even more sophisticated.</w:t>
      </w:r>
    </w:p>
    <w:p w14:paraId="210C5CC3" w14:textId="77777777" w:rsidR="00A774F3" w:rsidRDefault="00A774F3" w:rsidP="00A774F3"/>
    <w:p w14:paraId="724F7310" w14:textId="77777777" w:rsidR="00A774F3" w:rsidRPr="006E13D1" w:rsidRDefault="00A774F3" w:rsidP="00A774F3">
      <w:pPr>
        <w:pStyle w:val="Heading2"/>
      </w:pPr>
      <w:r w:rsidRPr="006E13D1">
        <w:t>2</w:t>
      </w:r>
      <w:r>
        <w:t>.3</w:t>
      </w:r>
      <w:r w:rsidRPr="006E13D1">
        <w:tab/>
      </w:r>
      <w:r>
        <w:t>QoE configuration differences in E-UTRAN and NR</w:t>
      </w:r>
    </w:p>
    <w:p w14:paraId="6CFE1EED" w14:textId="77777777" w:rsidR="00A774F3" w:rsidRDefault="00A774F3" w:rsidP="00A774F3">
      <w:r>
        <w:rPr>
          <w:iCs/>
        </w:rPr>
        <w:t xml:space="preserve">The </w:t>
      </w:r>
      <w:r w:rsidRPr="00F43A82">
        <w:rPr>
          <w:iCs/>
        </w:rPr>
        <w:t>configuration of application layer measurements</w:t>
      </w:r>
      <w:r>
        <w:rPr>
          <w:iCs/>
        </w:rPr>
        <w:t xml:space="preserve"> for LTE is specified as follows (TS36.331):</w:t>
      </w:r>
    </w:p>
    <w:p w14:paraId="6BF55C83"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measConfigAppLayer-r15</w:t>
      </w:r>
      <w:r w:rsidRPr="0066577A">
        <w:rPr>
          <w:rFonts w:ascii="Courier New" w:hAnsi="Courier New"/>
          <w:noProof/>
          <w:sz w:val="16"/>
          <w:lang w:eastAsia="ja-JP"/>
        </w:rPr>
        <w:tab/>
      </w:r>
      <w:r w:rsidRPr="0066577A">
        <w:rPr>
          <w:rFonts w:ascii="Courier New" w:hAnsi="Courier New"/>
          <w:noProof/>
          <w:sz w:val="16"/>
          <w:lang w:eastAsia="ja-JP"/>
        </w:rPr>
        <w:tab/>
        <w:t>CHOICE{</w:t>
      </w:r>
    </w:p>
    <w:p w14:paraId="3EEAF584"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release</w:t>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NULL,</w:t>
      </w:r>
    </w:p>
    <w:p w14:paraId="56D9A065"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setup</w:t>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SEQUENCE{</w:t>
      </w:r>
    </w:p>
    <w:p w14:paraId="75EB1B8E"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measConfigAppLayerContainer-r15</w:t>
      </w:r>
      <w:r w:rsidRPr="0066577A">
        <w:rPr>
          <w:rFonts w:ascii="Courier New" w:hAnsi="Courier New"/>
          <w:noProof/>
          <w:sz w:val="16"/>
          <w:lang w:eastAsia="ja-JP"/>
        </w:rPr>
        <w:tab/>
      </w:r>
      <w:r w:rsidRPr="0066577A">
        <w:rPr>
          <w:rFonts w:ascii="Courier New" w:hAnsi="Courier New"/>
          <w:noProof/>
          <w:sz w:val="16"/>
          <w:lang w:eastAsia="ja-JP"/>
        </w:rPr>
        <w:tab/>
        <w:t>OCTET STRING (SIZE(1..1000)),</w:t>
      </w:r>
    </w:p>
    <w:p w14:paraId="578D00C2"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serviceType-r15</w:t>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ENUMERATED {</w:t>
      </w:r>
      <w:r w:rsidRPr="00133956">
        <w:rPr>
          <w:rFonts w:ascii="Courier New" w:hAnsi="Courier New"/>
          <w:noProof/>
          <w:sz w:val="16"/>
          <w:highlight w:val="green"/>
          <w:lang w:eastAsia="ja-JP"/>
        </w:rPr>
        <w:t>qoe, qoemtsi</w:t>
      </w:r>
      <w:r w:rsidRPr="0066577A">
        <w:rPr>
          <w:rFonts w:ascii="Courier New" w:hAnsi="Courier New"/>
          <w:noProof/>
          <w:sz w:val="16"/>
          <w:lang w:eastAsia="ja-JP"/>
        </w:rPr>
        <w:t>, spare6, spare5, spare4, spare3, spare2, spare1}</w:t>
      </w:r>
    </w:p>
    <w:p w14:paraId="5762FB26"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r>
      <w:r w:rsidRPr="0066577A">
        <w:rPr>
          <w:rFonts w:ascii="Courier New" w:hAnsi="Courier New"/>
          <w:noProof/>
          <w:sz w:val="16"/>
          <w:lang w:eastAsia="ja-JP"/>
        </w:rPr>
        <w:tab/>
        <w:t>}</w:t>
      </w:r>
    </w:p>
    <w:p w14:paraId="0B49D77F"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6577A">
        <w:rPr>
          <w:rFonts w:ascii="Courier New" w:hAnsi="Courier New"/>
          <w:noProof/>
          <w:sz w:val="16"/>
          <w:lang w:eastAsia="ja-JP"/>
        </w:rPr>
        <w:tab/>
      </w:r>
      <w:r w:rsidRPr="0066577A">
        <w:rPr>
          <w:rFonts w:ascii="Courier New" w:hAnsi="Courier New"/>
          <w:noProof/>
          <w:sz w:val="16"/>
          <w:lang w:eastAsia="ja-JP"/>
        </w:rPr>
        <w:tab/>
        <w:t>}</w:t>
      </w:r>
      <w:r w:rsidRPr="0066577A">
        <w:rPr>
          <w:rFonts w:ascii="Courier New" w:hAnsi="Courier New"/>
          <w:noProof/>
          <w:sz w:val="16"/>
          <w:lang w:eastAsia="ja-JP"/>
        </w:rPr>
        <w:tab/>
        <w:t>OPTIONAL,</w:t>
      </w:r>
      <w:r w:rsidRPr="0066577A">
        <w:rPr>
          <w:rFonts w:ascii="Courier New" w:hAnsi="Courier New"/>
          <w:noProof/>
          <w:sz w:val="16"/>
          <w:lang w:eastAsia="ja-JP"/>
        </w:rPr>
        <w:tab/>
        <w:t>-- Need ON</w:t>
      </w:r>
      <w:r w:rsidRPr="0066577A">
        <w:rPr>
          <w:rFonts w:ascii="Courier New" w:hAnsi="Courier New"/>
          <w:noProof/>
          <w:sz w:val="16"/>
          <w:lang w:eastAsia="ja-JP"/>
        </w:rPr>
        <w:tab/>
      </w:r>
    </w:p>
    <w:p w14:paraId="6D51EEBE" w14:textId="77777777" w:rsidR="00355814" w:rsidRDefault="00355814" w:rsidP="00355814">
      <w:pPr>
        <w:pStyle w:val="TAL"/>
        <w:rPr>
          <w:b/>
          <w:bCs/>
          <w:i/>
          <w:noProof/>
          <w:lang w:eastAsia="zh-CN"/>
        </w:rPr>
      </w:pPr>
    </w:p>
    <w:p w14:paraId="16ABEF91" w14:textId="5C380CDA" w:rsidR="00355814" w:rsidRPr="004F2C0E" w:rsidRDefault="00355814" w:rsidP="00355814">
      <w:pPr>
        <w:pStyle w:val="TAL"/>
        <w:rPr>
          <w:b/>
          <w:bCs/>
          <w:i/>
          <w:noProof/>
          <w:lang w:eastAsia="zh-CN"/>
        </w:rPr>
      </w:pPr>
      <w:r w:rsidRPr="004F2C0E">
        <w:rPr>
          <w:b/>
          <w:bCs/>
          <w:i/>
          <w:noProof/>
          <w:lang w:eastAsia="zh-CN"/>
        </w:rPr>
        <w:t>measConfigAppLayerContainer</w:t>
      </w:r>
    </w:p>
    <w:p w14:paraId="159BD7A1" w14:textId="5D124A5E" w:rsidR="00355814" w:rsidRPr="004742AB" w:rsidRDefault="00355814" w:rsidP="00355814">
      <w:pPr>
        <w:rPr>
          <w:lang w:eastAsia="zh-CN"/>
        </w:rPr>
      </w:pPr>
      <w:r w:rsidRPr="004F2C0E">
        <w:rPr>
          <w:lang w:eastAsia="zh-CN"/>
        </w:rPr>
        <w:t xml:space="preserve">The field contains configuration of application layer measurements, see Annex L (normative) in TS 26.247 [90] </w:t>
      </w:r>
      <w:r w:rsidRPr="004F2C0E">
        <w:t>and clause 16.5 in TS 26.114 [99]</w:t>
      </w:r>
      <w:r w:rsidRPr="004F2C0E">
        <w:rPr>
          <w:lang w:eastAsia="zh-CN"/>
        </w:rPr>
        <w:t>.</w:t>
      </w:r>
      <w:r w:rsidRPr="004F2C0E">
        <w:rPr>
          <w:rFonts w:ascii="Helvetica" w:hAnsi="Helvetica" w:cs="Helvetica"/>
          <w:shd w:val="clear" w:color="auto" w:fill="FFFFFF"/>
        </w:rPr>
        <w:t xml:space="preserve"> </w:t>
      </w:r>
      <w:r w:rsidRPr="004742AB">
        <w:rPr>
          <w:lang w:eastAsia="zh-CN"/>
        </w:rPr>
        <w:t xml:space="preserve">The maximum number of configurations of application layer measurements that a UE supports is one regardless of </w:t>
      </w:r>
      <w:r w:rsidRPr="004742AB">
        <w:rPr>
          <w:i/>
          <w:iCs/>
          <w:lang w:eastAsia="zh-CN"/>
        </w:rPr>
        <w:t>serviceType</w:t>
      </w:r>
      <w:r w:rsidRPr="004742AB">
        <w:rPr>
          <w:lang w:eastAsia="zh-CN"/>
        </w:rPr>
        <w:t>.</w:t>
      </w:r>
    </w:p>
    <w:p w14:paraId="73842954" w14:textId="3FCEE796" w:rsidR="00A774F3" w:rsidRPr="00D7760E" w:rsidRDefault="00A774F3" w:rsidP="00A774F3">
      <w:pPr>
        <w:rPr>
          <w:b/>
          <w:bCs/>
          <w:iCs/>
        </w:rPr>
      </w:pPr>
      <w:r w:rsidRPr="00D7760E">
        <w:rPr>
          <w:b/>
          <w:bCs/>
          <w:iCs/>
        </w:rPr>
        <w:t>Observation 4: LTE QoE configuration supports two service types: ‘qoe’ for streaming and ‘qoemtsi’ for MTSI</w:t>
      </w:r>
      <w:r w:rsidR="00355814" w:rsidRPr="00D7760E">
        <w:rPr>
          <w:b/>
          <w:bCs/>
          <w:iCs/>
        </w:rPr>
        <w:t xml:space="preserve"> and maximum </w:t>
      </w:r>
      <w:r w:rsidR="006D2308" w:rsidRPr="00D7760E">
        <w:rPr>
          <w:b/>
          <w:bCs/>
          <w:iCs/>
        </w:rPr>
        <w:t>one</w:t>
      </w:r>
      <w:r w:rsidR="00355814" w:rsidRPr="00D7760E">
        <w:rPr>
          <w:b/>
          <w:bCs/>
          <w:iCs/>
        </w:rPr>
        <w:t xml:space="preserve"> QoE configuration</w:t>
      </w:r>
      <w:r w:rsidR="00593844" w:rsidRPr="00D7760E">
        <w:rPr>
          <w:b/>
          <w:bCs/>
          <w:iCs/>
        </w:rPr>
        <w:t xml:space="preserve"> can be </w:t>
      </w:r>
      <w:r w:rsidR="3991180B" w:rsidRPr="00D7760E">
        <w:rPr>
          <w:b/>
          <w:bCs/>
        </w:rPr>
        <w:t>configured</w:t>
      </w:r>
      <w:r w:rsidRPr="00D7760E">
        <w:rPr>
          <w:b/>
          <w:bCs/>
          <w:iCs/>
        </w:rPr>
        <w:t>.</w:t>
      </w:r>
    </w:p>
    <w:p w14:paraId="18A1F78C" w14:textId="77777777" w:rsidR="00A774F3" w:rsidRDefault="00A774F3" w:rsidP="00A774F3">
      <w:pPr>
        <w:rPr>
          <w:iCs/>
        </w:rPr>
      </w:pPr>
      <w:r>
        <w:rPr>
          <w:iCs/>
        </w:rPr>
        <w:t xml:space="preserve">The </w:t>
      </w:r>
      <w:r w:rsidRPr="00F43A82">
        <w:rPr>
          <w:iCs/>
        </w:rPr>
        <w:t>configuration of application layer measurements</w:t>
      </w:r>
      <w:r>
        <w:rPr>
          <w:iCs/>
        </w:rPr>
        <w:t xml:space="preserve"> for NR is specified as follows (TS38.331):</w:t>
      </w:r>
    </w:p>
    <w:p w14:paraId="18A26A9D"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577A">
        <w:rPr>
          <w:rFonts w:ascii="Courier New" w:hAnsi="Courier New"/>
          <w:noProof/>
          <w:sz w:val="16"/>
          <w:lang w:eastAsia="en-GB"/>
        </w:rPr>
        <w:t xml:space="preserve">AppLayerMeasConfig-r17 ::=           </w:t>
      </w:r>
      <w:r w:rsidRPr="0066577A">
        <w:rPr>
          <w:rFonts w:ascii="Courier New" w:hAnsi="Courier New"/>
          <w:noProof/>
          <w:color w:val="993366"/>
          <w:sz w:val="16"/>
          <w:lang w:eastAsia="en-GB"/>
        </w:rPr>
        <w:t>SEQUENCE</w:t>
      </w:r>
      <w:r w:rsidRPr="0066577A">
        <w:rPr>
          <w:rFonts w:ascii="Courier New" w:hAnsi="Courier New"/>
          <w:noProof/>
          <w:sz w:val="16"/>
          <w:lang w:eastAsia="en-GB"/>
        </w:rPr>
        <w:t xml:space="preserve"> {</w:t>
      </w:r>
    </w:p>
    <w:p w14:paraId="29E0B7B8"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577A">
        <w:rPr>
          <w:rFonts w:ascii="Courier New" w:hAnsi="Courier New"/>
          <w:noProof/>
          <w:sz w:val="16"/>
          <w:lang w:eastAsia="en-GB"/>
        </w:rPr>
        <w:t xml:space="preserve">    measConfigAppLayerToAddModList-r17   </w:t>
      </w:r>
      <w:r w:rsidRPr="0066577A">
        <w:rPr>
          <w:rFonts w:ascii="Courier New" w:hAnsi="Courier New"/>
          <w:noProof/>
          <w:color w:val="993366"/>
          <w:sz w:val="16"/>
          <w:lang w:eastAsia="en-GB"/>
        </w:rPr>
        <w:t>SEQUENCE</w:t>
      </w:r>
      <w:r w:rsidRPr="0066577A">
        <w:rPr>
          <w:rFonts w:ascii="Courier New" w:hAnsi="Courier New"/>
          <w:noProof/>
          <w:sz w:val="16"/>
          <w:lang w:eastAsia="en-GB"/>
        </w:rPr>
        <w:t xml:space="preserve"> (</w:t>
      </w:r>
      <w:r w:rsidRPr="0066577A">
        <w:rPr>
          <w:rFonts w:ascii="Courier New" w:hAnsi="Courier New"/>
          <w:noProof/>
          <w:color w:val="993366"/>
          <w:sz w:val="16"/>
          <w:lang w:eastAsia="en-GB"/>
        </w:rPr>
        <w:t>SIZE</w:t>
      </w:r>
      <w:r w:rsidRPr="0066577A">
        <w:rPr>
          <w:rFonts w:ascii="Courier New" w:hAnsi="Courier New"/>
          <w:noProof/>
          <w:sz w:val="16"/>
          <w:lang w:eastAsia="en-GB"/>
        </w:rPr>
        <w:t xml:space="preserve"> (1..maxNrofAppLayerMeas-r17))</w:t>
      </w:r>
      <w:r w:rsidRPr="0066577A">
        <w:rPr>
          <w:rFonts w:ascii="Courier New" w:hAnsi="Courier New"/>
          <w:noProof/>
          <w:color w:val="993366"/>
          <w:sz w:val="16"/>
          <w:lang w:eastAsia="en-GB"/>
        </w:rPr>
        <w:t xml:space="preserve"> OF</w:t>
      </w:r>
      <w:r w:rsidRPr="0066577A">
        <w:rPr>
          <w:rFonts w:ascii="Courier New" w:hAnsi="Courier New"/>
          <w:noProof/>
          <w:sz w:val="16"/>
          <w:lang w:eastAsia="en-GB"/>
        </w:rPr>
        <w:t xml:space="preserve"> MeasConfigAppLayer-r17     </w:t>
      </w:r>
      <w:r w:rsidRPr="0066577A">
        <w:rPr>
          <w:rFonts w:ascii="Courier New" w:hAnsi="Courier New"/>
          <w:noProof/>
          <w:color w:val="993366"/>
          <w:sz w:val="16"/>
          <w:lang w:eastAsia="en-GB"/>
        </w:rPr>
        <w:t>OPTIONAL</w:t>
      </w:r>
      <w:r w:rsidRPr="0066577A">
        <w:rPr>
          <w:rFonts w:ascii="Courier New" w:hAnsi="Courier New"/>
          <w:noProof/>
          <w:sz w:val="16"/>
          <w:lang w:eastAsia="en-GB"/>
        </w:rPr>
        <w:t xml:space="preserve">, </w:t>
      </w:r>
      <w:r w:rsidRPr="0066577A">
        <w:rPr>
          <w:rFonts w:ascii="Courier New" w:hAnsi="Courier New"/>
          <w:noProof/>
          <w:color w:val="808080"/>
          <w:sz w:val="16"/>
          <w:lang w:eastAsia="en-GB"/>
        </w:rPr>
        <w:t>-- Need N</w:t>
      </w:r>
    </w:p>
    <w:p w14:paraId="2CF4C78A"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577A">
        <w:rPr>
          <w:rFonts w:ascii="Courier New" w:hAnsi="Courier New"/>
          <w:noProof/>
          <w:sz w:val="16"/>
          <w:lang w:eastAsia="en-GB"/>
        </w:rPr>
        <w:t xml:space="preserve">    measConfigAppLayerToReleaseList-r17  </w:t>
      </w:r>
      <w:r w:rsidRPr="0066577A">
        <w:rPr>
          <w:rFonts w:ascii="Courier New" w:hAnsi="Courier New"/>
          <w:noProof/>
          <w:color w:val="993366"/>
          <w:sz w:val="16"/>
          <w:lang w:eastAsia="en-GB"/>
        </w:rPr>
        <w:t>SEQUENCE</w:t>
      </w:r>
      <w:r w:rsidRPr="0066577A">
        <w:rPr>
          <w:rFonts w:ascii="Courier New" w:hAnsi="Courier New"/>
          <w:noProof/>
          <w:sz w:val="16"/>
          <w:lang w:eastAsia="en-GB"/>
        </w:rPr>
        <w:t xml:space="preserve"> (</w:t>
      </w:r>
      <w:r w:rsidRPr="0066577A">
        <w:rPr>
          <w:rFonts w:ascii="Courier New" w:hAnsi="Courier New"/>
          <w:noProof/>
          <w:color w:val="993366"/>
          <w:sz w:val="16"/>
          <w:lang w:eastAsia="en-GB"/>
        </w:rPr>
        <w:t>SIZE</w:t>
      </w:r>
      <w:r w:rsidRPr="0066577A">
        <w:rPr>
          <w:rFonts w:ascii="Courier New" w:hAnsi="Courier New"/>
          <w:noProof/>
          <w:sz w:val="16"/>
          <w:lang w:eastAsia="en-GB"/>
        </w:rPr>
        <w:t xml:space="preserve"> (1..maxNrofAppLayerMeas-r17))</w:t>
      </w:r>
      <w:r w:rsidRPr="0066577A">
        <w:rPr>
          <w:rFonts w:ascii="Courier New" w:hAnsi="Courier New"/>
          <w:noProof/>
          <w:color w:val="993366"/>
          <w:sz w:val="16"/>
          <w:lang w:eastAsia="en-GB"/>
        </w:rPr>
        <w:t xml:space="preserve"> OF</w:t>
      </w:r>
      <w:r w:rsidRPr="0066577A">
        <w:rPr>
          <w:rFonts w:ascii="Courier New" w:hAnsi="Courier New"/>
          <w:noProof/>
          <w:sz w:val="16"/>
          <w:lang w:eastAsia="en-GB"/>
        </w:rPr>
        <w:t xml:space="preserve"> MeasConfigAppLayerId-r17   </w:t>
      </w:r>
      <w:r w:rsidRPr="0066577A">
        <w:rPr>
          <w:rFonts w:ascii="Courier New" w:hAnsi="Courier New"/>
          <w:noProof/>
          <w:color w:val="993366"/>
          <w:sz w:val="16"/>
          <w:lang w:eastAsia="en-GB"/>
        </w:rPr>
        <w:t>OPTIONAL</w:t>
      </w:r>
      <w:r w:rsidRPr="0066577A">
        <w:rPr>
          <w:rFonts w:ascii="Courier New" w:hAnsi="Courier New"/>
          <w:noProof/>
          <w:sz w:val="16"/>
          <w:lang w:eastAsia="en-GB"/>
        </w:rPr>
        <w:t xml:space="preserve">, </w:t>
      </w:r>
      <w:r w:rsidRPr="0066577A">
        <w:rPr>
          <w:rFonts w:ascii="Courier New" w:hAnsi="Courier New"/>
          <w:noProof/>
          <w:color w:val="808080"/>
          <w:sz w:val="16"/>
          <w:lang w:eastAsia="en-GB"/>
        </w:rPr>
        <w:t>-- Need N</w:t>
      </w:r>
    </w:p>
    <w:p w14:paraId="4597CDBA"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577A">
        <w:rPr>
          <w:rFonts w:ascii="Courier New" w:hAnsi="Courier New"/>
          <w:noProof/>
          <w:sz w:val="16"/>
          <w:lang w:eastAsia="en-GB"/>
        </w:rPr>
        <w:t xml:space="preserve">    rrc-SegAllowed-r17                   </w:t>
      </w:r>
      <w:r w:rsidRPr="0066577A">
        <w:rPr>
          <w:rFonts w:ascii="Courier New" w:hAnsi="Courier New"/>
          <w:noProof/>
          <w:color w:val="993366"/>
          <w:sz w:val="16"/>
          <w:lang w:eastAsia="en-GB"/>
        </w:rPr>
        <w:t>ENUMERATED</w:t>
      </w:r>
      <w:r w:rsidRPr="0066577A">
        <w:rPr>
          <w:rFonts w:ascii="Courier New" w:hAnsi="Courier New"/>
          <w:noProof/>
          <w:sz w:val="16"/>
          <w:lang w:eastAsia="en-GB"/>
        </w:rPr>
        <w:t xml:space="preserve"> {enabled}                                                       </w:t>
      </w:r>
      <w:r w:rsidRPr="0066577A">
        <w:rPr>
          <w:rFonts w:ascii="Courier New" w:hAnsi="Courier New"/>
          <w:noProof/>
          <w:color w:val="993366"/>
          <w:sz w:val="16"/>
          <w:lang w:eastAsia="en-GB"/>
        </w:rPr>
        <w:t>OPTIONAL</w:t>
      </w:r>
      <w:r w:rsidRPr="0066577A">
        <w:rPr>
          <w:rFonts w:ascii="Courier New" w:hAnsi="Courier New"/>
          <w:noProof/>
          <w:sz w:val="16"/>
          <w:lang w:eastAsia="en-GB"/>
        </w:rPr>
        <w:t xml:space="preserve">, </w:t>
      </w:r>
      <w:r w:rsidRPr="0066577A">
        <w:rPr>
          <w:rFonts w:ascii="Courier New" w:hAnsi="Courier New"/>
          <w:noProof/>
          <w:color w:val="808080"/>
          <w:sz w:val="16"/>
          <w:lang w:eastAsia="en-GB"/>
        </w:rPr>
        <w:t>-- Need R</w:t>
      </w:r>
    </w:p>
    <w:p w14:paraId="6BBC352E"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577A">
        <w:rPr>
          <w:rFonts w:ascii="Courier New" w:hAnsi="Courier New"/>
          <w:noProof/>
          <w:sz w:val="16"/>
          <w:lang w:eastAsia="en-GB"/>
        </w:rPr>
        <w:t xml:space="preserve">    ...</w:t>
      </w:r>
    </w:p>
    <w:p w14:paraId="2E511308" w14:textId="77777777" w:rsidR="00A774F3" w:rsidRPr="0066577A"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577A">
        <w:rPr>
          <w:rFonts w:ascii="Courier New" w:hAnsi="Courier New"/>
          <w:noProof/>
          <w:sz w:val="16"/>
          <w:lang w:eastAsia="en-GB"/>
        </w:rPr>
        <w:t>}</w:t>
      </w:r>
    </w:p>
    <w:p w14:paraId="7753F457"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57F6">
        <w:rPr>
          <w:rFonts w:ascii="Courier New" w:hAnsi="Courier New"/>
          <w:noProof/>
          <w:sz w:val="16"/>
          <w:lang w:eastAsia="en-GB"/>
        </w:rPr>
        <w:t xml:space="preserve">MeasConfigAppLayer-r17 ::=           </w:t>
      </w:r>
      <w:r w:rsidRPr="006957F6">
        <w:rPr>
          <w:rFonts w:ascii="Courier New" w:hAnsi="Courier New"/>
          <w:noProof/>
          <w:color w:val="993366"/>
          <w:sz w:val="16"/>
          <w:lang w:eastAsia="en-GB"/>
        </w:rPr>
        <w:t>SEQUENCE</w:t>
      </w:r>
      <w:r w:rsidRPr="006957F6">
        <w:rPr>
          <w:rFonts w:ascii="Courier New" w:hAnsi="Courier New"/>
          <w:noProof/>
          <w:sz w:val="16"/>
          <w:lang w:eastAsia="en-GB"/>
        </w:rPr>
        <w:t xml:space="preserve"> {</w:t>
      </w:r>
    </w:p>
    <w:p w14:paraId="6AD1B706"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57F6">
        <w:rPr>
          <w:rFonts w:ascii="Courier New" w:hAnsi="Courier New"/>
          <w:noProof/>
          <w:sz w:val="16"/>
          <w:lang w:eastAsia="en-GB"/>
        </w:rPr>
        <w:t xml:space="preserve">    measConfigAppLayerId-r17             MeasConfigAppLayerId-r17,</w:t>
      </w:r>
    </w:p>
    <w:p w14:paraId="0A67401E"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957F6">
        <w:rPr>
          <w:rFonts w:ascii="Courier New" w:hAnsi="Courier New"/>
          <w:noProof/>
          <w:sz w:val="16"/>
          <w:lang w:eastAsia="en-GB"/>
        </w:rPr>
        <w:t xml:space="preserve">    measConfigAppLayerContainer-r17      </w:t>
      </w:r>
      <w:r w:rsidRPr="006957F6">
        <w:rPr>
          <w:rFonts w:ascii="Courier New" w:hAnsi="Courier New"/>
          <w:noProof/>
          <w:color w:val="993366"/>
          <w:sz w:val="16"/>
          <w:lang w:eastAsia="en-GB"/>
        </w:rPr>
        <w:t>OCTET</w:t>
      </w:r>
      <w:r w:rsidRPr="006957F6">
        <w:rPr>
          <w:rFonts w:ascii="Courier New" w:hAnsi="Courier New"/>
          <w:noProof/>
          <w:sz w:val="16"/>
          <w:lang w:eastAsia="en-GB"/>
        </w:rPr>
        <w:t xml:space="preserve"> </w:t>
      </w:r>
      <w:r w:rsidRPr="006957F6">
        <w:rPr>
          <w:rFonts w:ascii="Courier New" w:hAnsi="Courier New"/>
          <w:noProof/>
          <w:color w:val="993366"/>
          <w:sz w:val="16"/>
          <w:lang w:eastAsia="en-GB"/>
        </w:rPr>
        <w:t>STRING</w:t>
      </w:r>
      <w:r w:rsidRPr="006957F6">
        <w:rPr>
          <w:rFonts w:ascii="Courier New" w:hAnsi="Courier New"/>
          <w:noProof/>
          <w:sz w:val="16"/>
          <w:lang w:eastAsia="en-GB"/>
        </w:rPr>
        <w:t xml:space="preserve"> (</w:t>
      </w:r>
      <w:r w:rsidRPr="006957F6">
        <w:rPr>
          <w:rFonts w:ascii="Courier New" w:hAnsi="Courier New"/>
          <w:noProof/>
          <w:color w:val="993366"/>
          <w:sz w:val="16"/>
          <w:lang w:eastAsia="en-GB"/>
        </w:rPr>
        <w:t>SIZE</w:t>
      </w:r>
      <w:r w:rsidRPr="006957F6">
        <w:rPr>
          <w:rFonts w:ascii="Courier New" w:hAnsi="Courier New"/>
          <w:noProof/>
          <w:sz w:val="16"/>
          <w:lang w:eastAsia="en-GB"/>
        </w:rPr>
        <w:t xml:space="preserve"> (1..8000))                                              </w:t>
      </w:r>
      <w:r w:rsidRPr="006957F6">
        <w:rPr>
          <w:rFonts w:ascii="Courier New" w:hAnsi="Courier New"/>
          <w:noProof/>
          <w:color w:val="993366"/>
          <w:sz w:val="16"/>
          <w:lang w:eastAsia="en-GB"/>
        </w:rPr>
        <w:t>OPTIONAL</w:t>
      </w:r>
      <w:r w:rsidRPr="006957F6">
        <w:rPr>
          <w:rFonts w:ascii="Courier New" w:hAnsi="Courier New"/>
          <w:noProof/>
          <w:sz w:val="16"/>
          <w:lang w:eastAsia="en-GB"/>
        </w:rPr>
        <w:t xml:space="preserve">, </w:t>
      </w:r>
      <w:r w:rsidRPr="006957F6">
        <w:rPr>
          <w:rFonts w:ascii="Courier New" w:hAnsi="Courier New"/>
          <w:noProof/>
          <w:color w:val="808080"/>
          <w:sz w:val="16"/>
          <w:lang w:eastAsia="en-GB"/>
        </w:rPr>
        <w:t>-- Need N</w:t>
      </w:r>
    </w:p>
    <w:p w14:paraId="361377C5"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957F6">
        <w:rPr>
          <w:rFonts w:ascii="Courier New" w:hAnsi="Courier New"/>
          <w:noProof/>
          <w:sz w:val="16"/>
          <w:lang w:eastAsia="en-GB"/>
        </w:rPr>
        <w:t xml:space="preserve">    serviceType-r17                      </w:t>
      </w:r>
      <w:r w:rsidRPr="006957F6">
        <w:rPr>
          <w:rFonts w:ascii="Courier New" w:hAnsi="Courier New"/>
          <w:noProof/>
          <w:color w:val="993366"/>
          <w:sz w:val="16"/>
          <w:lang w:eastAsia="en-GB"/>
        </w:rPr>
        <w:t>ENUMERATED</w:t>
      </w:r>
      <w:r w:rsidRPr="006957F6">
        <w:rPr>
          <w:rFonts w:ascii="Courier New" w:hAnsi="Courier New"/>
          <w:noProof/>
          <w:sz w:val="16"/>
          <w:lang w:eastAsia="en-GB"/>
        </w:rPr>
        <w:t xml:space="preserve"> {</w:t>
      </w:r>
      <w:r w:rsidRPr="00133956">
        <w:rPr>
          <w:rFonts w:ascii="Courier New" w:hAnsi="Courier New"/>
          <w:noProof/>
          <w:sz w:val="16"/>
          <w:highlight w:val="green"/>
          <w:lang w:eastAsia="en-GB"/>
        </w:rPr>
        <w:t>streaming, mtsi</w:t>
      </w:r>
      <w:r w:rsidRPr="006957F6">
        <w:rPr>
          <w:rFonts w:ascii="Courier New" w:hAnsi="Courier New"/>
          <w:noProof/>
          <w:sz w:val="16"/>
          <w:lang w:eastAsia="en-GB"/>
        </w:rPr>
        <w:t xml:space="preserve">, vr, spare5, spare4, spare3, spare2, spare1}   </w:t>
      </w:r>
      <w:r w:rsidRPr="006957F6">
        <w:rPr>
          <w:rFonts w:ascii="Courier New" w:hAnsi="Courier New"/>
          <w:noProof/>
          <w:color w:val="993366"/>
          <w:sz w:val="16"/>
          <w:lang w:eastAsia="en-GB"/>
        </w:rPr>
        <w:t>OPTIONAL</w:t>
      </w:r>
      <w:r w:rsidRPr="006957F6">
        <w:rPr>
          <w:rFonts w:ascii="Courier New" w:hAnsi="Courier New"/>
          <w:noProof/>
          <w:sz w:val="16"/>
          <w:lang w:eastAsia="en-GB"/>
        </w:rPr>
        <w:t xml:space="preserve">, </w:t>
      </w:r>
      <w:r w:rsidRPr="006957F6">
        <w:rPr>
          <w:rFonts w:ascii="Courier New" w:hAnsi="Courier New"/>
          <w:noProof/>
          <w:color w:val="808080"/>
          <w:sz w:val="16"/>
          <w:lang w:eastAsia="en-GB"/>
        </w:rPr>
        <w:t>-- Need M</w:t>
      </w:r>
    </w:p>
    <w:p w14:paraId="23E6953D"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957F6">
        <w:rPr>
          <w:rFonts w:ascii="Courier New" w:hAnsi="Courier New"/>
          <w:noProof/>
          <w:sz w:val="16"/>
          <w:lang w:eastAsia="en-GB"/>
        </w:rPr>
        <w:t xml:space="preserve">    pauseReporting-r17                   </w:t>
      </w:r>
      <w:r w:rsidRPr="006957F6">
        <w:rPr>
          <w:rFonts w:ascii="Courier New" w:hAnsi="Courier New"/>
          <w:noProof/>
          <w:color w:val="993366"/>
          <w:sz w:val="16"/>
          <w:lang w:eastAsia="en-GB"/>
        </w:rPr>
        <w:t>BOOLEAN</w:t>
      </w:r>
      <w:r w:rsidRPr="006957F6">
        <w:rPr>
          <w:rFonts w:ascii="Courier New" w:hAnsi="Courier New"/>
          <w:noProof/>
          <w:sz w:val="16"/>
          <w:lang w:eastAsia="en-GB"/>
        </w:rPr>
        <w:t xml:space="preserve">                                                                    </w:t>
      </w:r>
      <w:r w:rsidRPr="006957F6">
        <w:rPr>
          <w:rFonts w:ascii="Courier New" w:hAnsi="Courier New"/>
          <w:noProof/>
          <w:color w:val="993366"/>
          <w:sz w:val="16"/>
          <w:lang w:eastAsia="en-GB"/>
        </w:rPr>
        <w:t>OPTIONAL</w:t>
      </w:r>
      <w:r w:rsidRPr="006957F6">
        <w:rPr>
          <w:rFonts w:ascii="Courier New" w:hAnsi="Courier New"/>
          <w:noProof/>
          <w:sz w:val="16"/>
          <w:lang w:eastAsia="en-GB"/>
        </w:rPr>
        <w:t xml:space="preserve">, </w:t>
      </w:r>
      <w:r w:rsidRPr="006957F6">
        <w:rPr>
          <w:rFonts w:ascii="Courier New" w:hAnsi="Courier New"/>
          <w:noProof/>
          <w:color w:val="808080"/>
          <w:sz w:val="16"/>
          <w:lang w:eastAsia="en-GB"/>
        </w:rPr>
        <w:t>-- Need M</w:t>
      </w:r>
    </w:p>
    <w:p w14:paraId="5FF80260"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957F6">
        <w:rPr>
          <w:rFonts w:ascii="Courier New" w:hAnsi="Courier New"/>
          <w:noProof/>
          <w:sz w:val="16"/>
          <w:lang w:eastAsia="en-GB"/>
        </w:rPr>
        <w:t xml:space="preserve">    transmissionOfSessionStartStop-r17   </w:t>
      </w:r>
      <w:r w:rsidRPr="006957F6">
        <w:rPr>
          <w:rFonts w:ascii="Courier New" w:hAnsi="Courier New"/>
          <w:noProof/>
          <w:color w:val="993366"/>
          <w:sz w:val="16"/>
          <w:lang w:eastAsia="en-GB"/>
        </w:rPr>
        <w:t>BOOLEAN</w:t>
      </w:r>
      <w:r w:rsidRPr="006957F6">
        <w:rPr>
          <w:rFonts w:ascii="Courier New" w:hAnsi="Courier New"/>
          <w:noProof/>
          <w:sz w:val="16"/>
          <w:lang w:eastAsia="en-GB"/>
        </w:rPr>
        <w:t xml:space="preserve">                                                                    </w:t>
      </w:r>
      <w:r w:rsidRPr="006957F6">
        <w:rPr>
          <w:rFonts w:ascii="Courier New" w:hAnsi="Courier New"/>
          <w:noProof/>
          <w:color w:val="993366"/>
          <w:sz w:val="16"/>
          <w:lang w:eastAsia="en-GB"/>
        </w:rPr>
        <w:t>OPTIONAL</w:t>
      </w:r>
      <w:r w:rsidRPr="006957F6">
        <w:rPr>
          <w:rFonts w:ascii="Courier New" w:hAnsi="Courier New"/>
          <w:noProof/>
          <w:sz w:val="16"/>
          <w:lang w:eastAsia="en-GB"/>
        </w:rPr>
        <w:t xml:space="preserve">, </w:t>
      </w:r>
      <w:r w:rsidRPr="006957F6">
        <w:rPr>
          <w:rFonts w:ascii="Courier New" w:hAnsi="Courier New"/>
          <w:noProof/>
          <w:color w:val="808080"/>
          <w:sz w:val="16"/>
          <w:lang w:eastAsia="en-GB"/>
        </w:rPr>
        <w:t>-- Need M</w:t>
      </w:r>
    </w:p>
    <w:p w14:paraId="48800613"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957F6">
        <w:rPr>
          <w:rFonts w:ascii="Courier New" w:hAnsi="Courier New"/>
          <w:noProof/>
          <w:sz w:val="16"/>
          <w:lang w:eastAsia="en-GB"/>
        </w:rPr>
        <w:t xml:space="preserve">    ran-VisibleParameters-r17            SetupRelease {RAN-VisibleParameters-r17}                                   </w:t>
      </w:r>
      <w:r w:rsidRPr="006957F6">
        <w:rPr>
          <w:rFonts w:ascii="Courier New" w:hAnsi="Courier New"/>
          <w:noProof/>
          <w:color w:val="993366"/>
          <w:sz w:val="16"/>
          <w:lang w:eastAsia="en-GB"/>
        </w:rPr>
        <w:t>OPTIONAL</w:t>
      </w:r>
      <w:r w:rsidRPr="006957F6">
        <w:rPr>
          <w:rFonts w:ascii="Courier New" w:hAnsi="Courier New"/>
          <w:noProof/>
          <w:sz w:val="16"/>
          <w:lang w:eastAsia="en-GB"/>
        </w:rPr>
        <w:t xml:space="preserve">, </w:t>
      </w:r>
      <w:r w:rsidRPr="006957F6">
        <w:rPr>
          <w:rFonts w:ascii="Courier New" w:hAnsi="Courier New"/>
          <w:noProof/>
          <w:color w:val="808080"/>
          <w:sz w:val="16"/>
          <w:lang w:eastAsia="en-GB"/>
        </w:rPr>
        <w:t>-- Cond ServiceType</w:t>
      </w:r>
    </w:p>
    <w:p w14:paraId="7275E1A3"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57F6">
        <w:rPr>
          <w:rFonts w:ascii="Courier New" w:hAnsi="Courier New"/>
          <w:noProof/>
          <w:sz w:val="16"/>
          <w:lang w:eastAsia="en-GB"/>
        </w:rPr>
        <w:t xml:space="preserve">    ...</w:t>
      </w:r>
    </w:p>
    <w:p w14:paraId="2F5E2925" w14:textId="77777777" w:rsidR="00A774F3" w:rsidRPr="006957F6" w:rsidRDefault="00A774F3" w:rsidP="00A77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57F6">
        <w:rPr>
          <w:rFonts w:ascii="Courier New" w:hAnsi="Courier New"/>
          <w:noProof/>
          <w:sz w:val="16"/>
          <w:lang w:eastAsia="en-GB"/>
        </w:rPr>
        <w:lastRenderedPageBreak/>
        <w:t>}</w:t>
      </w:r>
    </w:p>
    <w:p w14:paraId="7642917C" w14:textId="77777777" w:rsidR="00A774F3" w:rsidRDefault="00A774F3" w:rsidP="00A774F3"/>
    <w:p w14:paraId="72D42806" w14:textId="77777777" w:rsidR="00A774F3" w:rsidRPr="00D7760E" w:rsidRDefault="00A774F3" w:rsidP="00A774F3">
      <w:pPr>
        <w:rPr>
          <w:b/>
          <w:bCs/>
          <w:iCs/>
        </w:rPr>
      </w:pPr>
      <w:r w:rsidRPr="00D7760E">
        <w:rPr>
          <w:b/>
          <w:bCs/>
          <w:iCs/>
        </w:rPr>
        <w:t>Observation 5: NR QoE configuration supports up to 16 configurations for three different service types: ‘streaming’, ‘mtsi’ and ‘vr’.</w:t>
      </w:r>
    </w:p>
    <w:p w14:paraId="50105043" w14:textId="1DADB180" w:rsidR="00A774F3" w:rsidRDefault="00A774F3" w:rsidP="00A774F3">
      <w:r>
        <w:t xml:space="preserve">As discussed in the previous section, a HO </w:t>
      </w:r>
      <w:r w:rsidR="009C7B01">
        <w:t>REQUIRE</w:t>
      </w:r>
      <w:r w:rsidR="0087172E">
        <w:t>MENT</w:t>
      </w:r>
      <w:r>
        <w:t xml:space="preserve"> for continued QoE configuration needs to be determined by the ‘</w:t>
      </w:r>
      <w:r w:rsidRPr="00266451">
        <w:rPr>
          <w:i/>
          <w:iCs/>
        </w:rPr>
        <w:t>targetRAT-type’</w:t>
      </w:r>
      <w:r>
        <w:t>. If the eNB wants to indicate the QoE configuration for streaming service, it needs to map the service type to 38.331 syntax. If the gNB wants to indicate the QoE configuration for streaming service, it needs to map the service type to 36.331 syntax. For the 5G to 4G handover, additional complexity is brought by the NR Rel-17 enhancements that allow more simultaneous QoE configurations. The NR QoE configuration cannot be continued with the same number on LTE side and association to RRC id (that is further maintained across AS and Application layer) cannot be retained.</w:t>
      </w:r>
    </w:p>
    <w:p w14:paraId="1CE3EB57" w14:textId="77777777" w:rsidR="00A774F3" w:rsidRPr="00D7760E" w:rsidRDefault="00A774F3" w:rsidP="00A774F3">
      <w:pPr>
        <w:rPr>
          <w:b/>
          <w:bCs/>
        </w:rPr>
      </w:pPr>
      <w:r w:rsidRPr="00D7760E">
        <w:rPr>
          <w:b/>
          <w:bCs/>
        </w:rPr>
        <w:t>Observation 6: NR QoE configuration mapping to LTE QoE Configuration (and vice versa) brings burden to NW implementation.</w:t>
      </w:r>
    </w:p>
    <w:p w14:paraId="6EC829A4" w14:textId="405EB09E" w:rsidR="00A774F3" w:rsidRDefault="00A774F3" w:rsidP="00A774F3">
      <w:r>
        <w:t>Though, from RAN2 perspective, the mapping operation does not seem to impose changes to the RRC signalling and there is no standard restriction to facilitate the continuity in inter-RAT scenario:</w:t>
      </w:r>
    </w:p>
    <w:p w14:paraId="0FF26BE5" w14:textId="77777777" w:rsidR="00A774F3" w:rsidRPr="00D7760E" w:rsidRDefault="00A774F3" w:rsidP="00A774F3">
      <w:pPr>
        <w:rPr>
          <w:b/>
          <w:bCs/>
        </w:rPr>
      </w:pPr>
      <w:r w:rsidRPr="00D7760E">
        <w:rPr>
          <w:b/>
          <w:bCs/>
        </w:rPr>
        <w:t xml:space="preserve">Observation 7: The continuity of the QoE configuration in the inter-RAT HO does not require RRC signalling changes. </w:t>
      </w:r>
    </w:p>
    <w:p w14:paraId="6221F8A5" w14:textId="77777777" w:rsidR="00A774F3" w:rsidRDefault="00A774F3" w:rsidP="00A774F3"/>
    <w:p w14:paraId="4C4CC495" w14:textId="77777777" w:rsidR="00A774F3" w:rsidRPr="006E13D1" w:rsidRDefault="00A774F3" w:rsidP="00A774F3">
      <w:pPr>
        <w:pStyle w:val="Heading2"/>
      </w:pPr>
      <w:r w:rsidRPr="006E13D1">
        <w:t>2</w:t>
      </w:r>
      <w:r>
        <w:t>.4</w:t>
      </w:r>
      <w:r w:rsidRPr="006E13D1">
        <w:tab/>
      </w:r>
      <w:r>
        <w:t>Rel-18 enhancements</w:t>
      </w:r>
    </w:p>
    <w:p w14:paraId="381E5E86" w14:textId="77777777" w:rsidR="00A774F3" w:rsidRDefault="00A774F3" w:rsidP="00A774F3">
      <w:pPr>
        <w:rPr>
          <w:bCs/>
        </w:rPr>
      </w:pPr>
      <w:r>
        <w:t xml:space="preserve">We observe that potential need for standard enhancement would concern detailed definition of related NW procedures  to ensure the continuity of the QoE configuration. The details would address </w:t>
      </w:r>
      <w:r w:rsidRPr="00C74E8D">
        <w:t>NR</w:t>
      </w:r>
      <w:r>
        <w:t xml:space="preserve"> vs. LTE</w:t>
      </w:r>
      <w:r w:rsidRPr="00C74E8D">
        <w:t xml:space="preserve"> QoE configuration mapping</w:t>
      </w:r>
      <w:r>
        <w:t>. I.e., t</w:t>
      </w:r>
      <w:r>
        <w:rPr>
          <w:bCs/>
        </w:rPr>
        <w:t>he continuity of ‘qoe’ service type in LTE can be ensured by translating the QoE configuration to ‘streaming’ service type in NR. The ‘qoemtsi’ service type in LTE need to be translated to ‘mtsi’ service type in NR, and vice versa.</w:t>
      </w:r>
    </w:p>
    <w:p w14:paraId="001CFEB8" w14:textId="4E094DB0" w:rsidR="00A774F3" w:rsidRDefault="00A774F3" w:rsidP="00A774F3">
      <w:r>
        <w:t xml:space="preserve">Given the intention to limit Rel-18 enhancements to NR specifications only, it seems questionable to define only one direction (5G to 4G) guideline. This would seem to leave only the option for NW implementation-based </w:t>
      </w:r>
      <w:r w:rsidR="005820AF">
        <w:t>solution;</w:t>
      </w:r>
      <w:r>
        <w:t xml:space="preserve"> </w:t>
      </w:r>
      <w:r w:rsidR="00AD55ED">
        <w:t>Therefore,</w:t>
      </w:r>
      <w:r>
        <w:t xml:space="preserve"> we propose:</w:t>
      </w:r>
    </w:p>
    <w:p w14:paraId="7364899F" w14:textId="77777777" w:rsidR="00A774F3" w:rsidRPr="00D7760E" w:rsidRDefault="00A774F3" w:rsidP="00A774F3">
      <w:pPr>
        <w:rPr>
          <w:b/>
        </w:rPr>
      </w:pPr>
      <w:r w:rsidRPr="00D7760E">
        <w:rPr>
          <w:b/>
        </w:rPr>
        <w:t>Proposal 1:</w:t>
      </w:r>
      <w:r w:rsidRPr="00D7760E">
        <w:rPr>
          <w:b/>
        </w:rPr>
        <w:tab/>
        <w:t xml:space="preserve">A continued support for QoE measurements </w:t>
      </w:r>
      <w:r w:rsidRPr="00D7760E">
        <w:rPr>
          <w:rFonts w:hint="eastAsia"/>
          <w:b/>
        </w:rPr>
        <w:t xml:space="preserve">for streaming and MTSI service </w:t>
      </w:r>
      <w:r w:rsidRPr="00D7760E">
        <w:rPr>
          <w:b/>
        </w:rPr>
        <w:t>during</w:t>
      </w:r>
      <w:r w:rsidRPr="00D7760E">
        <w:rPr>
          <w:rFonts w:hint="eastAsia"/>
          <w:b/>
        </w:rPr>
        <w:t xml:space="preserve"> intra-5GC</w:t>
      </w:r>
      <w:r w:rsidRPr="00D7760E">
        <w:rPr>
          <w:b/>
        </w:rPr>
        <w:t xml:space="preserve"> inter-RAT handover is supported by NW implementation-based solution. </w:t>
      </w:r>
    </w:p>
    <w:p w14:paraId="73007C1E" w14:textId="77777777" w:rsidR="00A774F3" w:rsidRPr="006E13D1" w:rsidRDefault="00A774F3" w:rsidP="00A774F3">
      <w:pPr>
        <w:pStyle w:val="Heading1"/>
      </w:pPr>
      <w:r>
        <w:t>3</w:t>
      </w:r>
      <w:r w:rsidRPr="006E13D1">
        <w:tab/>
      </w:r>
      <w:r>
        <w:t>Conclusion</w:t>
      </w:r>
    </w:p>
    <w:p w14:paraId="6E24B0F4" w14:textId="02921B27" w:rsidR="009339CB" w:rsidRPr="006E13D1" w:rsidRDefault="00A774F3" w:rsidP="009339CB">
      <w:r>
        <w:t>This contribution has discussed how QoE configuration for streaming and MTSI services can be continued in 5GC inter-RAT handover and</w:t>
      </w:r>
      <w:r w:rsidR="009339CB">
        <w:t xml:space="preserve"> made the following observations:</w:t>
      </w:r>
    </w:p>
    <w:p w14:paraId="0B659980" w14:textId="77777777" w:rsidR="00D7760E" w:rsidRPr="00D7760E" w:rsidRDefault="00D7760E" w:rsidP="00D7760E">
      <w:pPr>
        <w:rPr>
          <w:b/>
          <w:bCs/>
        </w:rPr>
      </w:pPr>
      <w:r w:rsidRPr="00D7760E">
        <w:rPr>
          <w:b/>
          <w:bCs/>
        </w:rPr>
        <w:t>Observation 1: No LTE specifications changes are expected to support the continuity of</w:t>
      </w:r>
      <w:r w:rsidRPr="00D7760E">
        <w:rPr>
          <w:rFonts w:hint="eastAsia"/>
          <w:b/>
          <w:bCs/>
          <w:lang w:val="en-US" w:eastAsia="zh-CN"/>
        </w:rPr>
        <w:t xml:space="preserve"> legacy</w:t>
      </w:r>
      <w:r w:rsidRPr="00D7760E">
        <w:rPr>
          <w:b/>
          <w:bCs/>
        </w:rPr>
        <w:t xml:space="preserve"> QoE measurement job</w:t>
      </w:r>
      <w:r w:rsidRPr="00D7760E">
        <w:rPr>
          <w:rFonts w:hint="eastAsia"/>
          <w:b/>
          <w:bCs/>
          <w:lang w:val="en-US" w:eastAsia="zh-CN"/>
        </w:rPr>
        <w:t xml:space="preserve"> for </w:t>
      </w:r>
      <w:r w:rsidRPr="00D7760E">
        <w:rPr>
          <w:rFonts w:hint="eastAsia"/>
          <w:b/>
          <w:bCs/>
        </w:rPr>
        <w:t>streaming and MTSI service</w:t>
      </w:r>
      <w:r w:rsidRPr="00D7760E">
        <w:rPr>
          <w:rFonts w:hint="eastAsia"/>
          <w:b/>
          <w:bCs/>
          <w:lang w:val="en-US" w:eastAsia="zh-CN"/>
        </w:rPr>
        <w:t xml:space="preserve"> </w:t>
      </w:r>
      <w:r w:rsidRPr="00D7760E">
        <w:rPr>
          <w:b/>
          <w:bCs/>
        </w:rPr>
        <w:t>during</w:t>
      </w:r>
      <w:r w:rsidRPr="00D7760E">
        <w:rPr>
          <w:rFonts w:hint="eastAsia"/>
          <w:b/>
          <w:bCs/>
          <w:lang w:val="en-US" w:eastAsia="zh-CN"/>
        </w:rPr>
        <w:t xml:space="preserve"> intra-5GC</w:t>
      </w:r>
      <w:r w:rsidRPr="00D7760E">
        <w:rPr>
          <w:b/>
          <w:bCs/>
        </w:rPr>
        <w:t xml:space="preserve"> inter-RAT handover.</w:t>
      </w:r>
    </w:p>
    <w:p w14:paraId="53BE70FB" w14:textId="61AAC2B0" w:rsidR="00D7760E" w:rsidRPr="00D7760E" w:rsidRDefault="00D7760E" w:rsidP="00D7760E">
      <w:pPr>
        <w:rPr>
          <w:b/>
          <w:bCs/>
        </w:rPr>
      </w:pPr>
      <w:r w:rsidRPr="00D7760E">
        <w:rPr>
          <w:b/>
          <w:bCs/>
        </w:rPr>
        <w:t xml:space="preserve">Observation 2: In the inter-RAT HO from 5G to 4G, the gNB needs to refer LTE specification to build the message to </w:t>
      </w:r>
      <w:r w:rsidR="00625098">
        <w:rPr>
          <w:b/>
          <w:bCs/>
        </w:rPr>
        <w:t>request</w:t>
      </w:r>
      <w:r w:rsidRPr="00D7760E">
        <w:rPr>
          <w:b/>
          <w:bCs/>
        </w:rPr>
        <w:t xml:space="preserve"> the inter-RAT HO.</w:t>
      </w:r>
    </w:p>
    <w:p w14:paraId="4C0130D6" w14:textId="58841004" w:rsidR="00D7760E" w:rsidRPr="00D7760E" w:rsidRDefault="00D7760E" w:rsidP="00D7760E">
      <w:pPr>
        <w:rPr>
          <w:b/>
          <w:bCs/>
        </w:rPr>
      </w:pPr>
      <w:r w:rsidRPr="00D7760E">
        <w:rPr>
          <w:b/>
          <w:bCs/>
        </w:rPr>
        <w:t xml:space="preserve">Observation 3: In the inter-RAT HO from 4G to 5G, the eNB needs to refer NR specification to build the message to </w:t>
      </w:r>
      <w:r w:rsidR="00625098">
        <w:rPr>
          <w:b/>
          <w:bCs/>
        </w:rPr>
        <w:t>request</w:t>
      </w:r>
      <w:r w:rsidRPr="00D7760E">
        <w:rPr>
          <w:b/>
          <w:bCs/>
        </w:rPr>
        <w:t xml:space="preserve"> the inter-RAT HO.</w:t>
      </w:r>
    </w:p>
    <w:p w14:paraId="64BB71E8" w14:textId="77777777" w:rsidR="00D7760E" w:rsidRPr="00D7760E" w:rsidRDefault="00D7760E" w:rsidP="00D7760E">
      <w:pPr>
        <w:rPr>
          <w:b/>
          <w:bCs/>
          <w:iCs/>
        </w:rPr>
      </w:pPr>
      <w:r w:rsidRPr="00D7760E">
        <w:rPr>
          <w:b/>
          <w:bCs/>
          <w:iCs/>
        </w:rPr>
        <w:t xml:space="preserve">Observation 4: LTE QoE configuration supports two service types: ‘qoe’ for streaming and ‘qoemtsi’ for MTSI and maximum one QoE configuration can be </w:t>
      </w:r>
      <w:r w:rsidRPr="00D7760E">
        <w:rPr>
          <w:b/>
          <w:bCs/>
        </w:rPr>
        <w:t>configured</w:t>
      </w:r>
      <w:r w:rsidRPr="00D7760E">
        <w:rPr>
          <w:b/>
          <w:bCs/>
          <w:iCs/>
        </w:rPr>
        <w:t>.</w:t>
      </w:r>
    </w:p>
    <w:p w14:paraId="060DCE44" w14:textId="77777777" w:rsidR="00D7760E" w:rsidRPr="00D7760E" w:rsidRDefault="00D7760E" w:rsidP="00D7760E">
      <w:pPr>
        <w:rPr>
          <w:b/>
          <w:bCs/>
          <w:iCs/>
        </w:rPr>
      </w:pPr>
      <w:r w:rsidRPr="00D7760E">
        <w:rPr>
          <w:b/>
          <w:bCs/>
          <w:iCs/>
        </w:rPr>
        <w:t>Observation 5: NR QoE configuration supports up to 16 configurations for three different service types: ‘streaming’, ‘mtsi’ and ‘vr’.</w:t>
      </w:r>
    </w:p>
    <w:p w14:paraId="5AAEB947" w14:textId="77777777" w:rsidR="00D7760E" w:rsidRPr="00D7760E" w:rsidRDefault="00D7760E" w:rsidP="00D7760E">
      <w:pPr>
        <w:rPr>
          <w:b/>
          <w:bCs/>
        </w:rPr>
      </w:pPr>
      <w:r w:rsidRPr="00D7760E">
        <w:rPr>
          <w:b/>
          <w:bCs/>
        </w:rPr>
        <w:t>Observation 6: NR QoE configuration mapping to LTE QoE Configuration (and vice versa) brings burden to NW implementation.</w:t>
      </w:r>
    </w:p>
    <w:p w14:paraId="7C06C9EE" w14:textId="77777777" w:rsidR="00D7760E" w:rsidRPr="00D7760E" w:rsidRDefault="00D7760E" w:rsidP="00D7760E">
      <w:pPr>
        <w:rPr>
          <w:b/>
          <w:bCs/>
        </w:rPr>
      </w:pPr>
      <w:r w:rsidRPr="00D7760E">
        <w:rPr>
          <w:b/>
          <w:bCs/>
        </w:rPr>
        <w:t xml:space="preserve">Observation 7: The continuity of the QoE configuration in the inter-RAT HO does not require RRC signalling changes. </w:t>
      </w:r>
    </w:p>
    <w:p w14:paraId="3BE72BE2" w14:textId="7DA18B98" w:rsidR="009339CB" w:rsidRPr="004F4540" w:rsidRDefault="00A774F3" w:rsidP="009339CB">
      <w:pPr>
        <w:rPr>
          <w:bCs/>
        </w:rPr>
      </w:pPr>
      <w:r>
        <w:rPr>
          <w:bCs/>
        </w:rPr>
        <w:lastRenderedPageBreak/>
        <w:t>Based on which</w:t>
      </w:r>
      <w:r w:rsidR="009339CB">
        <w:rPr>
          <w:bCs/>
        </w:rPr>
        <w:t xml:space="preserve"> the following</w:t>
      </w:r>
      <w:r>
        <w:rPr>
          <w:bCs/>
        </w:rPr>
        <w:t xml:space="preserve"> is proposed</w:t>
      </w:r>
      <w:r w:rsidR="009339CB">
        <w:rPr>
          <w:bCs/>
        </w:rPr>
        <w:t>:</w:t>
      </w:r>
    </w:p>
    <w:p w14:paraId="7F2E35CE" w14:textId="77777777" w:rsidR="00D7760E" w:rsidRPr="00D7760E" w:rsidRDefault="00D7760E" w:rsidP="00D7760E">
      <w:pPr>
        <w:rPr>
          <w:b/>
        </w:rPr>
      </w:pPr>
      <w:r w:rsidRPr="00D7760E">
        <w:rPr>
          <w:b/>
        </w:rPr>
        <w:t>Proposal 1:</w:t>
      </w:r>
      <w:r w:rsidRPr="00D7760E">
        <w:rPr>
          <w:b/>
        </w:rPr>
        <w:tab/>
        <w:t xml:space="preserve">A continued support for QoE measurements </w:t>
      </w:r>
      <w:r w:rsidRPr="00D7760E">
        <w:rPr>
          <w:rFonts w:hint="eastAsia"/>
          <w:b/>
        </w:rPr>
        <w:t xml:space="preserve">for streaming and MTSI service </w:t>
      </w:r>
      <w:r w:rsidRPr="00D7760E">
        <w:rPr>
          <w:b/>
        </w:rPr>
        <w:t>during</w:t>
      </w:r>
      <w:r w:rsidRPr="00D7760E">
        <w:rPr>
          <w:rFonts w:hint="eastAsia"/>
          <w:b/>
        </w:rPr>
        <w:t xml:space="preserve"> intra-5GC</w:t>
      </w:r>
      <w:r w:rsidRPr="00D7760E">
        <w:rPr>
          <w:b/>
        </w:rPr>
        <w:t xml:space="preserve"> inter-RAT handover is supported by NW implementation-based solution. </w:t>
      </w:r>
    </w:p>
    <w:p w14:paraId="6FB9713E" w14:textId="77777777" w:rsidR="00D7760E" w:rsidRPr="006E13D1" w:rsidRDefault="00D7760E"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D58B" w14:textId="77777777" w:rsidR="000C0CDC" w:rsidRDefault="000C0CDC">
      <w:r>
        <w:separator/>
      </w:r>
    </w:p>
  </w:endnote>
  <w:endnote w:type="continuationSeparator" w:id="0">
    <w:p w14:paraId="7645EDDC" w14:textId="77777777" w:rsidR="000C0CDC" w:rsidRDefault="000C0CDC">
      <w:r>
        <w:continuationSeparator/>
      </w:r>
    </w:p>
  </w:endnote>
  <w:endnote w:type="continuationNotice" w:id="1">
    <w:p w14:paraId="1D0D4F08" w14:textId="77777777" w:rsidR="000C0CDC" w:rsidRDefault="000C0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297BD" w14:textId="77777777" w:rsidR="000C0CDC" w:rsidRDefault="000C0CDC">
      <w:r>
        <w:separator/>
      </w:r>
    </w:p>
  </w:footnote>
  <w:footnote w:type="continuationSeparator" w:id="0">
    <w:p w14:paraId="1B394BE5" w14:textId="77777777" w:rsidR="000C0CDC" w:rsidRDefault="000C0CDC">
      <w:r>
        <w:continuationSeparator/>
      </w:r>
    </w:p>
  </w:footnote>
  <w:footnote w:type="continuationNotice" w:id="1">
    <w:p w14:paraId="18221DCE" w14:textId="77777777" w:rsidR="000C0CDC" w:rsidRDefault="000C0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AA2F57"/>
    <w:multiLevelType w:val="hybridMultilevel"/>
    <w:tmpl w:val="ACD05C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9852D2"/>
    <w:multiLevelType w:val="hybridMultilevel"/>
    <w:tmpl w:val="2564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793C"/>
    <w:rsid w:val="00060725"/>
    <w:rsid w:val="00065268"/>
    <w:rsid w:val="00065874"/>
    <w:rsid w:val="00073C9C"/>
    <w:rsid w:val="00076412"/>
    <w:rsid w:val="00080512"/>
    <w:rsid w:val="00081BCE"/>
    <w:rsid w:val="00083A6E"/>
    <w:rsid w:val="00090468"/>
    <w:rsid w:val="00094568"/>
    <w:rsid w:val="000B7BCF"/>
    <w:rsid w:val="000C0CDC"/>
    <w:rsid w:val="000C522B"/>
    <w:rsid w:val="000D02AB"/>
    <w:rsid w:val="000D58AB"/>
    <w:rsid w:val="00112F1A"/>
    <w:rsid w:val="00145075"/>
    <w:rsid w:val="00171AC4"/>
    <w:rsid w:val="001741A0"/>
    <w:rsid w:val="00175FA0"/>
    <w:rsid w:val="00194CD0"/>
    <w:rsid w:val="001A69F3"/>
    <w:rsid w:val="001B49C9"/>
    <w:rsid w:val="001C23F4"/>
    <w:rsid w:val="001C4F79"/>
    <w:rsid w:val="001D2402"/>
    <w:rsid w:val="001D72ED"/>
    <w:rsid w:val="001F168B"/>
    <w:rsid w:val="001F7831"/>
    <w:rsid w:val="001F7FC6"/>
    <w:rsid w:val="00204045"/>
    <w:rsid w:val="0020712B"/>
    <w:rsid w:val="002236FA"/>
    <w:rsid w:val="0022606D"/>
    <w:rsid w:val="0023148F"/>
    <w:rsid w:val="00231728"/>
    <w:rsid w:val="00244A05"/>
    <w:rsid w:val="00250404"/>
    <w:rsid w:val="00256B74"/>
    <w:rsid w:val="002610D8"/>
    <w:rsid w:val="002747EC"/>
    <w:rsid w:val="002855BF"/>
    <w:rsid w:val="002936BA"/>
    <w:rsid w:val="002A09AB"/>
    <w:rsid w:val="002A227C"/>
    <w:rsid w:val="002B2988"/>
    <w:rsid w:val="002F0D22"/>
    <w:rsid w:val="00311B17"/>
    <w:rsid w:val="003172DC"/>
    <w:rsid w:val="00325AE3"/>
    <w:rsid w:val="00326069"/>
    <w:rsid w:val="0035462D"/>
    <w:rsid w:val="00355814"/>
    <w:rsid w:val="0036459E"/>
    <w:rsid w:val="00364B41"/>
    <w:rsid w:val="00383096"/>
    <w:rsid w:val="0039346C"/>
    <w:rsid w:val="003A41EF"/>
    <w:rsid w:val="003B2566"/>
    <w:rsid w:val="003B40AD"/>
    <w:rsid w:val="003C4E37"/>
    <w:rsid w:val="003D7BB6"/>
    <w:rsid w:val="003E16BE"/>
    <w:rsid w:val="003F4E28"/>
    <w:rsid w:val="004006E8"/>
    <w:rsid w:val="00401855"/>
    <w:rsid w:val="00401C76"/>
    <w:rsid w:val="00405E99"/>
    <w:rsid w:val="00427CE8"/>
    <w:rsid w:val="00446C3A"/>
    <w:rsid w:val="00465587"/>
    <w:rsid w:val="004742AB"/>
    <w:rsid w:val="00477455"/>
    <w:rsid w:val="004A1F7B"/>
    <w:rsid w:val="004C44D2"/>
    <w:rsid w:val="004C77B1"/>
    <w:rsid w:val="004D3578"/>
    <w:rsid w:val="004D380D"/>
    <w:rsid w:val="004D7B70"/>
    <w:rsid w:val="004E1836"/>
    <w:rsid w:val="004E213A"/>
    <w:rsid w:val="004F4540"/>
    <w:rsid w:val="004F73A7"/>
    <w:rsid w:val="00503171"/>
    <w:rsid w:val="005053CA"/>
    <w:rsid w:val="00506C28"/>
    <w:rsid w:val="00520D2C"/>
    <w:rsid w:val="00534DA0"/>
    <w:rsid w:val="00540C66"/>
    <w:rsid w:val="00541850"/>
    <w:rsid w:val="00543E6C"/>
    <w:rsid w:val="00565087"/>
    <w:rsid w:val="0056573F"/>
    <w:rsid w:val="00571279"/>
    <w:rsid w:val="005820AF"/>
    <w:rsid w:val="0058213E"/>
    <w:rsid w:val="00593844"/>
    <w:rsid w:val="0059421A"/>
    <w:rsid w:val="005A13AB"/>
    <w:rsid w:val="005A49C6"/>
    <w:rsid w:val="005B012A"/>
    <w:rsid w:val="005B2B24"/>
    <w:rsid w:val="005C766E"/>
    <w:rsid w:val="005C7CD5"/>
    <w:rsid w:val="00611566"/>
    <w:rsid w:val="00625098"/>
    <w:rsid w:val="00646D99"/>
    <w:rsid w:val="0065143C"/>
    <w:rsid w:val="00656910"/>
    <w:rsid w:val="006574C0"/>
    <w:rsid w:val="0066577A"/>
    <w:rsid w:val="006678A3"/>
    <w:rsid w:val="0067220D"/>
    <w:rsid w:val="00681BEB"/>
    <w:rsid w:val="006957F6"/>
    <w:rsid w:val="00696821"/>
    <w:rsid w:val="006C66D8"/>
    <w:rsid w:val="006D1E24"/>
    <w:rsid w:val="006D2308"/>
    <w:rsid w:val="006D35DE"/>
    <w:rsid w:val="006E1057"/>
    <w:rsid w:val="006E1417"/>
    <w:rsid w:val="006F6A2C"/>
    <w:rsid w:val="007069DC"/>
    <w:rsid w:val="00710201"/>
    <w:rsid w:val="00711289"/>
    <w:rsid w:val="0072073A"/>
    <w:rsid w:val="007342B5"/>
    <w:rsid w:val="00734A5B"/>
    <w:rsid w:val="00744E76"/>
    <w:rsid w:val="00755A26"/>
    <w:rsid w:val="00757D40"/>
    <w:rsid w:val="007662B5"/>
    <w:rsid w:val="00781F0F"/>
    <w:rsid w:val="00785D0D"/>
    <w:rsid w:val="0078727C"/>
    <w:rsid w:val="0079049D"/>
    <w:rsid w:val="00793DC5"/>
    <w:rsid w:val="00796823"/>
    <w:rsid w:val="007A2E55"/>
    <w:rsid w:val="007B18D8"/>
    <w:rsid w:val="007B4D8F"/>
    <w:rsid w:val="007C095F"/>
    <w:rsid w:val="007C2DD0"/>
    <w:rsid w:val="007D6486"/>
    <w:rsid w:val="007F2E08"/>
    <w:rsid w:val="00800758"/>
    <w:rsid w:val="008024FA"/>
    <w:rsid w:val="008028A4"/>
    <w:rsid w:val="00813245"/>
    <w:rsid w:val="00824D0D"/>
    <w:rsid w:val="00840DE0"/>
    <w:rsid w:val="008475CA"/>
    <w:rsid w:val="00847CD0"/>
    <w:rsid w:val="008526B0"/>
    <w:rsid w:val="008607A8"/>
    <w:rsid w:val="0086354A"/>
    <w:rsid w:val="0087172E"/>
    <w:rsid w:val="008768CA"/>
    <w:rsid w:val="00877EF9"/>
    <w:rsid w:val="00880559"/>
    <w:rsid w:val="008921A0"/>
    <w:rsid w:val="008B5306"/>
    <w:rsid w:val="008B54E8"/>
    <w:rsid w:val="008C2E2A"/>
    <w:rsid w:val="008C3057"/>
    <w:rsid w:val="008D2E4D"/>
    <w:rsid w:val="008D3917"/>
    <w:rsid w:val="008F396F"/>
    <w:rsid w:val="008F3DCD"/>
    <w:rsid w:val="0090271F"/>
    <w:rsid w:val="00902DB9"/>
    <w:rsid w:val="009044EB"/>
    <w:rsid w:val="0090466A"/>
    <w:rsid w:val="009166E5"/>
    <w:rsid w:val="00923655"/>
    <w:rsid w:val="009339CB"/>
    <w:rsid w:val="00936071"/>
    <w:rsid w:val="009376CD"/>
    <w:rsid w:val="00940212"/>
    <w:rsid w:val="009421A9"/>
    <w:rsid w:val="00942EC2"/>
    <w:rsid w:val="009433DE"/>
    <w:rsid w:val="00951024"/>
    <w:rsid w:val="0095429F"/>
    <w:rsid w:val="00954477"/>
    <w:rsid w:val="00961B32"/>
    <w:rsid w:val="00962509"/>
    <w:rsid w:val="00970DB3"/>
    <w:rsid w:val="00974BB0"/>
    <w:rsid w:val="00975BCD"/>
    <w:rsid w:val="009818A2"/>
    <w:rsid w:val="009928A9"/>
    <w:rsid w:val="00994C4A"/>
    <w:rsid w:val="009A0AF3"/>
    <w:rsid w:val="009B07CD"/>
    <w:rsid w:val="009C19E9"/>
    <w:rsid w:val="009C7B01"/>
    <w:rsid w:val="009D74A6"/>
    <w:rsid w:val="009E0E87"/>
    <w:rsid w:val="009E2A0C"/>
    <w:rsid w:val="009F2F41"/>
    <w:rsid w:val="009F32D8"/>
    <w:rsid w:val="009F58FA"/>
    <w:rsid w:val="00A04154"/>
    <w:rsid w:val="00A10F02"/>
    <w:rsid w:val="00A17176"/>
    <w:rsid w:val="00A204CA"/>
    <w:rsid w:val="00A209D6"/>
    <w:rsid w:val="00A2238F"/>
    <w:rsid w:val="00A22738"/>
    <w:rsid w:val="00A27423"/>
    <w:rsid w:val="00A36EE0"/>
    <w:rsid w:val="00A36F5F"/>
    <w:rsid w:val="00A430EC"/>
    <w:rsid w:val="00A53724"/>
    <w:rsid w:val="00A54B2B"/>
    <w:rsid w:val="00A703B6"/>
    <w:rsid w:val="00A774F3"/>
    <w:rsid w:val="00A82346"/>
    <w:rsid w:val="00A86A2E"/>
    <w:rsid w:val="00A9671C"/>
    <w:rsid w:val="00AA1553"/>
    <w:rsid w:val="00AA7E26"/>
    <w:rsid w:val="00AB79F1"/>
    <w:rsid w:val="00AD55ED"/>
    <w:rsid w:val="00B05380"/>
    <w:rsid w:val="00B05962"/>
    <w:rsid w:val="00B15449"/>
    <w:rsid w:val="00B15A74"/>
    <w:rsid w:val="00B16C2F"/>
    <w:rsid w:val="00B27303"/>
    <w:rsid w:val="00B30708"/>
    <w:rsid w:val="00B40AD3"/>
    <w:rsid w:val="00B47FD1"/>
    <w:rsid w:val="00B516BB"/>
    <w:rsid w:val="00B7538C"/>
    <w:rsid w:val="00B84DB2"/>
    <w:rsid w:val="00BA2099"/>
    <w:rsid w:val="00BA450A"/>
    <w:rsid w:val="00BA646C"/>
    <w:rsid w:val="00BC3555"/>
    <w:rsid w:val="00BE135F"/>
    <w:rsid w:val="00BF27FB"/>
    <w:rsid w:val="00BF2FA7"/>
    <w:rsid w:val="00C012E3"/>
    <w:rsid w:val="00C12B51"/>
    <w:rsid w:val="00C24650"/>
    <w:rsid w:val="00C25465"/>
    <w:rsid w:val="00C33079"/>
    <w:rsid w:val="00C42AD7"/>
    <w:rsid w:val="00C43053"/>
    <w:rsid w:val="00C479E3"/>
    <w:rsid w:val="00C55A12"/>
    <w:rsid w:val="00C60745"/>
    <w:rsid w:val="00C6553E"/>
    <w:rsid w:val="00C66753"/>
    <w:rsid w:val="00C83A13"/>
    <w:rsid w:val="00C86F10"/>
    <w:rsid w:val="00C9068C"/>
    <w:rsid w:val="00C92967"/>
    <w:rsid w:val="00CA3D0C"/>
    <w:rsid w:val="00CA654B"/>
    <w:rsid w:val="00CB72B8"/>
    <w:rsid w:val="00CD0BA8"/>
    <w:rsid w:val="00CD4C7B"/>
    <w:rsid w:val="00CD58FE"/>
    <w:rsid w:val="00CF4674"/>
    <w:rsid w:val="00D33BE3"/>
    <w:rsid w:val="00D3792D"/>
    <w:rsid w:val="00D50309"/>
    <w:rsid w:val="00D54820"/>
    <w:rsid w:val="00D55E47"/>
    <w:rsid w:val="00D62E19"/>
    <w:rsid w:val="00D67CD1"/>
    <w:rsid w:val="00D738D6"/>
    <w:rsid w:val="00D7500C"/>
    <w:rsid w:val="00D7760E"/>
    <w:rsid w:val="00D80795"/>
    <w:rsid w:val="00D854BE"/>
    <w:rsid w:val="00D87E00"/>
    <w:rsid w:val="00D9134D"/>
    <w:rsid w:val="00D96D11"/>
    <w:rsid w:val="00DA7A03"/>
    <w:rsid w:val="00DB0DB8"/>
    <w:rsid w:val="00DB1818"/>
    <w:rsid w:val="00DC309B"/>
    <w:rsid w:val="00DC4DA2"/>
    <w:rsid w:val="00DC5261"/>
    <w:rsid w:val="00DC6B1C"/>
    <w:rsid w:val="00DE25D2"/>
    <w:rsid w:val="00DF7C20"/>
    <w:rsid w:val="00E0156B"/>
    <w:rsid w:val="00E038FB"/>
    <w:rsid w:val="00E061BC"/>
    <w:rsid w:val="00E26F5A"/>
    <w:rsid w:val="00E324EB"/>
    <w:rsid w:val="00E34F48"/>
    <w:rsid w:val="00E46C08"/>
    <w:rsid w:val="00E471CF"/>
    <w:rsid w:val="00E506E0"/>
    <w:rsid w:val="00E5422D"/>
    <w:rsid w:val="00E62835"/>
    <w:rsid w:val="00E66A32"/>
    <w:rsid w:val="00E76641"/>
    <w:rsid w:val="00E77645"/>
    <w:rsid w:val="00E81AF5"/>
    <w:rsid w:val="00E83697"/>
    <w:rsid w:val="00E859B6"/>
    <w:rsid w:val="00EA66C9"/>
    <w:rsid w:val="00EB5D32"/>
    <w:rsid w:val="00EC4A25"/>
    <w:rsid w:val="00ED4A34"/>
    <w:rsid w:val="00ED55F2"/>
    <w:rsid w:val="00EF612C"/>
    <w:rsid w:val="00F025A2"/>
    <w:rsid w:val="00F036E9"/>
    <w:rsid w:val="00F07388"/>
    <w:rsid w:val="00F146D1"/>
    <w:rsid w:val="00F2026E"/>
    <w:rsid w:val="00F2210A"/>
    <w:rsid w:val="00F31372"/>
    <w:rsid w:val="00F318C8"/>
    <w:rsid w:val="00F348A2"/>
    <w:rsid w:val="00F37743"/>
    <w:rsid w:val="00F42C97"/>
    <w:rsid w:val="00F54A3D"/>
    <w:rsid w:val="00F54CB0"/>
    <w:rsid w:val="00F579CD"/>
    <w:rsid w:val="00F653B8"/>
    <w:rsid w:val="00F71B89"/>
    <w:rsid w:val="00F7353C"/>
    <w:rsid w:val="00F76F8F"/>
    <w:rsid w:val="00F771FF"/>
    <w:rsid w:val="00F87257"/>
    <w:rsid w:val="00F92744"/>
    <w:rsid w:val="00F941DF"/>
    <w:rsid w:val="00FA089B"/>
    <w:rsid w:val="00FA1266"/>
    <w:rsid w:val="00FB05FC"/>
    <w:rsid w:val="00FB36FA"/>
    <w:rsid w:val="00FC1192"/>
    <w:rsid w:val="00FD6CE5"/>
    <w:rsid w:val="00FE106D"/>
    <w:rsid w:val="00FE251B"/>
    <w:rsid w:val="00FF047F"/>
    <w:rsid w:val="1F30A6E2"/>
    <w:rsid w:val="371842E7"/>
    <w:rsid w:val="3991180B"/>
    <w:rsid w:val="4D40ABB6"/>
    <w:rsid w:val="4E4D9706"/>
    <w:rsid w:val="5596F2EE"/>
    <w:rsid w:val="67F37B4C"/>
    <w:rsid w:val="702E8C81"/>
    <w:rsid w:val="7ECEE1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58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95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6577A"/>
    <w:rPr>
      <w:rFonts w:ascii="Arial" w:hAnsi="Arial"/>
      <w:sz w:val="18"/>
      <w:lang w:eastAsia="en-US"/>
    </w:rPr>
  </w:style>
  <w:style w:type="character" w:customStyle="1" w:styleId="NOChar">
    <w:name w:val="NO Char"/>
    <w:link w:val="NO"/>
    <w:qFormat/>
    <w:rsid w:val="00520D2C"/>
    <w:rPr>
      <w:lang w:eastAsia="en-US"/>
    </w:rPr>
  </w:style>
  <w:style w:type="character" w:customStyle="1" w:styleId="TAHCar">
    <w:name w:val="TAH Car"/>
    <w:link w:val="TAH"/>
    <w:qFormat/>
    <w:locked/>
    <w:rsid w:val="00520D2C"/>
    <w:rPr>
      <w:rFonts w:ascii="Arial" w:hAnsi="Arial"/>
      <w:b/>
      <w:sz w:val="18"/>
      <w:lang w:eastAsia="en-US"/>
    </w:rPr>
  </w:style>
  <w:style w:type="character" w:customStyle="1" w:styleId="THChar">
    <w:name w:val="TH Char"/>
    <w:link w:val="TH"/>
    <w:qFormat/>
    <w:rsid w:val="00065874"/>
    <w:rPr>
      <w:rFonts w:ascii="Arial" w:hAnsi="Arial"/>
      <w:b/>
      <w:lang w:eastAsia="en-US"/>
    </w:rPr>
  </w:style>
  <w:style w:type="character" w:customStyle="1" w:styleId="PLChar">
    <w:name w:val="PL Char"/>
    <w:link w:val="PL"/>
    <w:qFormat/>
    <w:rsid w:val="00065874"/>
    <w:rPr>
      <w:rFonts w:ascii="Courier New" w:hAnsi="Courier New"/>
      <w:noProof/>
      <w:sz w:val="16"/>
      <w:lang w:eastAsia="en-US"/>
    </w:rPr>
  </w:style>
  <w:style w:type="character" w:customStyle="1" w:styleId="B1Char1">
    <w:name w:val="B1 Char1"/>
    <w:link w:val="B1"/>
    <w:qFormat/>
    <w:rsid w:val="00065874"/>
    <w:rPr>
      <w:lang w:eastAsia="en-US"/>
    </w:rPr>
  </w:style>
  <w:style w:type="paragraph" w:styleId="ListParagraph">
    <w:name w:val="List Paragraph"/>
    <w:basedOn w:val="Normal"/>
    <w:uiPriority w:val="34"/>
    <w:qFormat/>
    <w:rsid w:val="00755A26"/>
    <w:pPr>
      <w:ind w:left="720"/>
      <w:contextualSpacing/>
    </w:pPr>
  </w:style>
  <w:style w:type="character" w:customStyle="1" w:styleId="B2Char">
    <w:name w:val="B2 Char"/>
    <w:link w:val="B2"/>
    <w:qFormat/>
    <w:rsid w:val="00A86A2E"/>
    <w:rPr>
      <w:lang w:eastAsia="en-US"/>
    </w:rPr>
  </w:style>
  <w:style w:type="character" w:styleId="CommentReference">
    <w:name w:val="annotation reference"/>
    <w:basedOn w:val="DefaultParagraphFont"/>
    <w:rsid w:val="001F7FC6"/>
    <w:rPr>
      <w:sz w:val="16"/>
      <w:szCs w:val="16"/>
    </w:rPr>
  </w:style>
  <w:style w:type="paragraph" w:styleId="CommentText">
    <w:name w:val="annotation text"/>
    <w:basedOn w:val="Normal"/>
    <w:link w:val="CommentTextChar"/>
    <w:rsid w:val="001F7FC6"/>
  </w:style>
  <w:style w:type="character" w:customStyle="1" w:styleId="CommentTextChar">
    <w:name w:val="Comment Text Char"/>
    <w:basedOn w:val="DefaultParagraphFont"/>
    <w:link w:val="CommentText"/>
    <w:rsid w:val="001F7FC6"/>
    <w:rPr>
      <w:lang w:eastAsia="en-US"/>
    </w:rPr>
  </w:style>
  <w:style w:type="paragraph" w:styleId="CommentSubject">
    <w:name w:val="annotation subject"/>
    <w:basedOn w:val="CommentText"/>
    <w:next w:val="CommentText"/>
    <w:link w:val="CommentSubjectChar"/>
    <w:rsid w:val="001F7FC6"/>
    <w:rPr>
      <w:b/>
      <w:bCs/>
    </w:rPr>
  </w:style>
  <w:style w:type="character" w:customStyle="1" w:styleId="CommentSubjectChar">
    <w:name w:val="Comment Subject Char"/>
    <w:basedOn w:val="CommentTextChar"/>
    <w:link w:val="CommentSubject"/>
    <w:rsid w:val="001F7FC6"/>
    <w:rPr>
      <w:b/>
      <w:bCs/>
      <w:lang w:eastAsia="en-US"/>
    </w:rPr>
  </w:style>
  <w:style w:type="paragraph" w:styleId="Revision">
    <w:name w:val="Revision"/>
    <w:hidden/>
    <w:uiPriority w:val="99"/>
    <w:semiHidden/>
    <w:rsid w:val="009421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98e/Docs/RP-22348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9662</CharactersWithSpaces>
  <SharedDoc>false</SharedDoc>
  <HyperlinkBase/>
  <HLinks>
    <vt:vector size="6" baseType="variant">
      <vt:variant>
        <vt:i4>7143504</vt:i4>
      </vt:variant>
      <vt:variant>
        <vt:i4>0</vt:i4>
      </vt:variant>
      <vt:variant>
        <vt:i4>0</vt:i4>
      </vt:variant>
      <vt:variant>
        <vt:i4>5</vt:i4>
      </vt:variant>
      <vt:variant>
        <vt:lpwstr>https://www.3gpp.org/ftp/TSG_RAN/TSG_RAN/TSGR_98e/Docs/RP-223488.zip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2023-02-17T08:39:00Z</dcterms:created>
  <dcterms:modified xsi:type="dcterms:W3CDTF">2023-02-17T08:47:00Z</dcterms:modified>
  <cp:category/>
</cp:coreProperties>
</file>